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735E6CBB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Wales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61737723" w14:textId="3C8D2705" w:rsidR="002E5E6D" w:rsidRDefault="00334088" w:rsidP="005A33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 xml:space="preserve">Landen uit </w:t>
      </w:r>
      <w:r w:rsidRPr="00334088">
        <w:rPr>
          <w:rFonts w:eastAsia="Times New Roman"/>
          <w:sz w:val="20"/>
          <w:lang w:val="en-GB"/>
        </w:rPr>
        <w:t>heel Europa</w:t>
      </w:r>
      <w:r>
        <w:rPr>
          <w:rFonts w:eastAsia="Times New Roman"/>
          <w:sz w:val="20"/>
          <w:lang w:val="en-GB"/>
        </w:rPr>
        <w:t xml:space="preserve"> spelen</w:t>
      </w:r>
      <w:r w:rsidRPr="00334088">
        <w:rPr>
          <w:rFonts w:eastAsia="Times New Roman"/>
          <w:sz w:val="20"/>
          <w:lang w:val="en-GB"/>
        </w:rPr>
        <w:t xml:space="preserve"> tegen elkaa</w:t>
      </w:r>
      <w:r w:rsidR="00466435">
        <w:rPr>
          <w:rFonts w:eastAsia="Times New Roman"/>
          <w:sz w:val="20"/>
          <w:lang w:val="en-GB"/>
        </w:rPr>
        <w:t>r in de Nations League</w:t>
      </w:r>
      <w:r w:rsidRPr="00334088">
        <w:rPr>
          <w:rFonts w:eastAsia="Times New Roman"/>
          <w:sz w:val="20"/>
          <w:lang w:val="en-GB"/>
        </w:rPr>
        <w:t xml:space="preserve">. </w:t>
      </w:r>
      <w:r w:rsidR="00466435">
        <w:rPr>
          <w:rFonts w:eastAsia="Times New Roman"/>
          <w:sz w:val="20"/>
          <w:lang w:val="en-GB"/>
        </w:rPr>
        <w:t xml:space="preserve">Deze maand moet </w:t>
      </w:r>
      <w:r>
        <w:rPr>
          <w:rFonts w:eastAsia="Times New Roman"/>
          <w:sz w:val="20"/>
          <w:lang w:val="en-GB"/>
        </w:rPr>
        <w:t>Oranje het onder andere opnemen tegen Wales.</w:t>
      </w:r>
    </w:p>
    <w:p w14:paraId="1F32FD8A" w14:textId="77777777" w:rsidR="0066503C" w:rsidRPr="006B026C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E9081EB" w14:textId="483E9F00" w:rsidR="005A3332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="005D7923">
        <w:rPr>
          <w:rFonts w:eastAsia="Times New Roman"/>
          <w:sz w:val="20"/>
          <w:szCs w:val="20"/>
          <w:lang w:val="en-GB"/>
        </w:rPr>
        <w:t>–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5A3332" w:rsidRPr="005A3332">
        <w:rPr>
          <w:rFonts w:eastAsia="Times New Roman"/>
          <w:sz w:val="20"/>
          <w:szCs w:val="20"/>
          <w:lang w:val="en-GB"/>
        </w:rPr>
        <w:t>Kan korte, beschrijvende teksten over ve</w:t>
      </w:r>
      <w:r w:rsidR="005A3332">
        <w:rPr>
          <w:rFonts w:eastAsia="Times New Roman"/>
          <w:sz w:val="20"/>
          <w:szCs w:val="20"/>
          <w:lang w:val="en-GB"/>
        </w:rPr>
        <w:t>rtrouwde onderwerpen begrijpen. (</w:t>
      </w:r>
      <w:r w:rsidR="005A3332" w:rsidRPr="005A3332">
        <w:rPr>
          <w:rFonts w:eastAsia="Times New Roman"/>
          <w:sz w:val="20"/>
          <w:szCs w:val="20"/>
          <w:lang w:val="en-GB"/>
        </w:rPr>
        <w:t>LEA2-3c</w:t>
      </w:r>
      <w:r w:rsidR="005A3332">
        <w:rPr>
          <w:rFonts w:eastAsia="Times New Roman"/>
          <w:sz w:val="20"/>
          <w:szCs w:val="20"/>
          <w:lang w:val="en-GB"/>
        </w:rPr>
        <w:t xml:space="preserve">); </w:t>
      </w:r>
      <w:r w:rsidR="005A3332" w:rsidRPr="005A3332">
        <w:rPr>
          <w:rFonts w:eastAsia="Times New Roman"/>
          <w:sz w:val="20"/>
          <w:szCs w:val="20"/>
          <w:lang w:val="en-GB"/>
        </w:rPr>
        <w:t>Kan specifieke informatie b</w:t>
      </w:r>
      <w:r w:rsidR="005A3332">
        <w:rPr>
          <w:rFonts w:eastAsia="Times New Roman"/>
          <w:sz w:val="20"/>
          <w:szCs w:val="20"/>
          <w:lang w:val="en-GB"/>
        </w:rPr>
        <w:t>egrijpen in eenvoudige teksten. (</w:t>
      </w:r>
      <w:r w:rsidR="005A3332" w:rsidRPr="005A3332">
        <w:rPr>
          <w:rFonts w:eastAsia="Times New Roman"/>
          <w:sz w:val="20"/>
          <w:szCs w:val="20"/>
          <w:lang w:val="en-GB"/>
        </w:rPr>
        <w:t>LEA2-3a</w:t>
      </w:r>
      <w:r w:rsidR="005A3332">
        <w:rPr>
          <w:rFonts w:eastAsia="Times New Roman"/>
          <w:sz w:val="20"/>
          <w:szCs w:val="20"/>
          <w:lang w:val="en-GB"/>
        </w:rPr>
        <w:t>)</w:t>
      </w:r>
    </w:p>
    <w:p w14:paraId="46173110" w14:textId="0679ED3F" w:rsidR="00AD3F6E" w:rsidRPr="006B026C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</w:t>
      </w:r>
      <w:r w:rsidR="005D7923">
        <w:rPr>
          <w:rFonts w:cs="Arial"/>
          <w:noProof/>
          <w:sz w:val="20"/>
          <w:szCs w:val="20"/>
          <w:lang w:val="en-GB"/>
        </w:rPr>
        <w:t>–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3E635731" w14:textId="51B8537E" w:rsidR="00466435" w:rsidRDefault="00334088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334088">
        <w:rPr>
          <w:rFonts w:cs="Arial"/>
          <w:noProof/>
          <w:sz w:val="20"/>
          <w:szCs w:val="20"/>
          <w:lang w:val="en-GB"/>
        </w:rPr>
        <w:t>The third edition of the Nations League kicked off in June 2022</w:t>
      </w:r>
      <w:r w:rsidR="00466435">
        <w:rPr>
          <w:rFonts w:cs="Arial"/>
          <w:noProof/>
          <w:sz w:val="20"/>
          <w:szCs w:val="20"/>
          <w:lang w:val="en-GB"/>
        </w:rPr>
        <w:t>.</w:t>
      </w:r>
    </w:p>
    <w:p w14:paraId="0DDF7BA1" w14:textId="0414C1C7" w:rsidR="00334088" w:rsidRDefault="00334088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>In this year’s competition, the Netherlands meets Wales.</w:t>
      </w:r>
    </w:p>
    <w:p w14:paraId="05666E37" w14:textId="77777777" w:rsidR="005A3332" w:rsidRDefault="005A3332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</w:p>
    <w:p w14:paraId="20CA2AA3" w14:textId="77777777" w:rsidR="0086799B" w:rsidRDefault="0086799B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bookmarkStart w:id="0" w:name="_GoBack"/>
      <w:bookmarkEnd w:id="0"/>
    </w:p>
    <w:p w14:paraId="12505D92" w14:textId="77777777" w:rsidR="0086799B" w:rsidRPr="007832F9" w:rsidRDefault="0086799B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62F9068C" w14:textId="77777777" w:rsidR="00D54508" w:rsidRDefault="00D54508" w:rsidP="00D54508">
      <w:pPr>
        <w:spacing w:after="0" w:line="240" w:lineRule="auto"/>
        <w:rPr>
          <w:rFonts w:eastAsia="MS Mincho" w:cs="Arial"/>
          <w:lang w:val="en-GB" w:eastAsia="nl-NL"/>
        </w:rPr>
      </w:pPr>
      <w:r w:rsidRPr="00025CDF">
        <w:rPr>
          <w:rFonts w:eastAsia="MS Mincho" w:cs="Arial"/>
          <w:lang w:val="en-GB" w:eastAsia="nl-NL"/>
        </w:rPr>
        <w:t>You may use English-language Internet sources to help you.</w:t>
      </w:r>
    </w:p>
    <w:p w14:paraId="25E43EE7" w14:textId="5B69F87D" w:rsidR="001577C7" w:rsidRDefault="001577C7" w:rsidP="001577C7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5A3332">
        <w:rPr>
          <w:rFonts w:eastAsia="MS Mincho" w:cs="Arial"/>
          <w:lang w:val="en-US" w:eastAsia="nl-NL"/>
        </w:rPr>
        <w:t>Name the four parts of the United Kingdom.</w:t>
      </w:r>
    </w:p>
    <w:p w14:paraId="4A9543B3" w14:textId="17734CF4" w:rsidR="00187C5D" w:rsidRDefault="00187C5D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0C7E4762" w:rsidR="007324C0" w:rsidRPr="007324C0" w:rsidRDefault="00334088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Wales</w:t>
      </w:r>
    </w:p>
    <w:p w14:paraId="42052D7B" w14:textId="77777777" w:rsidR="00AC0C5B" w:rsidRDefault="00AC0C5B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261D60B0" w14:textId="77777777" w:rsidR="00334088" w:rsidRDefault="00334088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  <w:r>
        <w:t xml:space="preserve">The Nations League is a European football competition. It has started this month. In 2022, the Netherlands is in a group with Wales. </w:t>
      </w:r>
    </w:p>
    <w:p w14:paraId="57176106" w14:textId="4650F39A" w:rsidR="007324C0" w:rsidRDefault="00334088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  <w:r>
        <w:t xml:space="preserve">What do you actually know about Wales? Find out more about the country in this </w:t>
      </w:r>
      <w:hyperlink r:id="rId11" w:history="1">
        <w:r>
          <w:rPr>
            <w:rStyle w:val="Hyperlink"/>
            <w:rFonts w:cs="Arial"/>
            <w:lang w:val="en-GB"/>
          </w:rPr>
          <w:t>profile of Wales</w:t>
        </w:r>
      </w:hyperlink>
      <w:r w:rsidR="007324C0" w:rsidRPr="007324C0">
        <w:rPr>
          <w:rFonts w:cs="Arial"/>
          <w:lang w:val="en-GB"/>
        </w:rPr>
        <w:t>.</w:t>
      </w:r>
    </w:p>
    <w:p w14:paraId="30AD61EA" w14:textId="77777777" w:rsidR="007324C0" w:rsidRPr="007324C0" w:rsidRDefault="007324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7B7F044" w14:textId="77777777" w:rsidR="00F1140D" w:rsidRDefault="00F1140D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1CF4E5F9" w14:textId="395F642A" w:rsidR="00F640C5" w:rsidRDefault="00AD189F" w:rsidP="000F4883">
      <w:pPr>
        <w:keepNext/>
        <w:spacing w:after="0" w:line="240" w:lineRule="auto"/>
        <w:ind w:right="-200"/>
        <w:rPr>
          <w:rFonts w:cs="Arial"/>
          <w:b/>
          <w:lang w:val="en-GB"/>
        </w:rPr>
      </w:pPr>
      <w:r>
        <w:rPr>
          <w:rFonts w:cs="Arial"/>
          <w:lang w:val="en-GB"/>
        </w:rPr>
        <w:t>Find the words in the text.</w:t>
      </w:r>
      <w:r w:rsidR="00543D1A">
        <w:rPr>
          <w:rFonts w:cs="Arial"/>
          <w:lang w:val="en-GB"/>
        </w:rPr>
        <w:t xml:space="preserve"> </w:t>
      </w:r>
      <w:r w:rsidR="00CD2074"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2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746"/>
      </w:tblGrid>
      <w:tr w:rsidR="00334088" w:rsidRPr="007C38C4" w14:paraId="66FC8BB9" w14:textId="77777777" w:rsidTr="005A3332">
        <w:tc>
          <w:tcPr>
            <w:tcW w:w="2552" w:type="dxa"/>
          </w:tcPr>
          <w:p w14:paraId="5E194639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capital</w:t>
            </w:r>
          </w:p>
        </w:tc>
        <w:tc>
          <w:tcPr>
            <w:tcW w:w="6746" w:type="dxa"/>
          </w:tcPr>
          <w:p w14:paraId="0AA7EB5A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Nadruk"/>
                <w:rFonts w:eastAsia="Times New Roman"/>
                <w:i w:val="0"/>
              </w:rPr>
              <w:t>anno Domini</w:t>
            </w:r>
            <w:r w:rsidRPr="00A32C1A">
              <w:rPr>
                <w:rStyle w:val="snote"/>
                <w:rFonts w:eastAsia="Times New Roman"/>
              </w:rPr>
              <w:t xml:space="preserve">, </w:t>
            </w:r>
            <w:r w:rsidRPr="00A32C1A">
              <w:rPr>
                <w:rStyle w:val="untext"/>
                <w:rFonts w:eastAsia="Times New Roman"/>
              </w:rPr>
              <w:t>meaning: the years since the birth of Christ</w:t>
            </w:r>
          </w:p>
        </w:tc>
      </w:tr>
      <w:tr w:rsidR="00334088" w:rsidRPr="007C38C4" w14:paraId="2283FE23" w14:textId="77777777" w:rsidTr="005A3332">
        <w:tc>
          <w:tcPr>
            <w:tcW w:w="2552" w:type="dxa"/>
          </w:tcPr>
          <w:p w14:paraId="0189229C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surrounded by water</w:t>
            </w:r>
          </w:p>
        </w:tc>
        <w:tc>
          <w:tcPr>
            <w:tcW w:w="6746" w:type="dxa"/>
          </w:tcPr>
          <w:p w14:paraId="05016B74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lang w:val="en-US" w:eastAsia="nl-NL"/>
              </w:rPr>
              <w:t>birds such as chicken and ducks</w:t>
            </w:r>
          </w:p>
        </w:tc>
      </w:tr>
      <w:tr w:rsidR="00334088" w:rsidRPr="007C38C4" w14:paraId="5B45CA05" w14:textId="77777777" w:rsidTr="005A3332">
        <w:tc>
          <w:tcPr>
            <w:tcW w:w="2552" w:type="dxa"/>
          </w:tcPr>
          <w:p w14:paraId="3CB93E25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rugged</w:t>
            </w:r>
          </w:p>
        </w:tc>
        <w:tc>
          <w:tcPr>
            <w:tcW w:w="6746" w:type="dxa"/>
          </w:tcPr>
          <w:p w14:paraId="2991D930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lang w:val="en-US" w:eastAsia="nl-NL"/>
              </w:rPr>
              <w:t>control of the country by the Romans</w:t>
            </w:r>
          </w:p>
        </w:tc>
      </w:tr>
      <w:tr w:rsidR="00334088" w:rsidRPr="007C38C4" w14:paraId="10BE08C5" w14:textId="77777777" w:rsidTr="005A3332">
        <w:tc>
          <w:tcPr>
            <w:tcW w:w="2552" w:type="dxa"/>
          </w:tcPr>
          <w:p w14:paraId="1F641BE0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manufacturing</w:t>
            </w:r>
          </w:p>
        </w:tc>
        <w:tc>
          <w:tcPr>
            <w:tcW w:w="6746" w:type="dxa"/>
          </w:tcPr>
          <w:p w14:paraId="5E8E3617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eftext"/>
                <w:rFonts w:eastAsia="Times New Roman"/>
              </w:rPr>
              <w:t>the group of people who make the laws in some kinds of government</w:t>
            </w:r>
          </w:p>
        </w:tc>
      </w:tr>
      <w:tr w:rsidR="00334088" w:rsidRPr="007C38C4" w14:paraId="29AFB14F" w14:textId="77777777" w:rsidTr="005A3332">
        <w:tc>
          <w:tcPr>
            <w:tcW w:w="2552" w:type="dxa"/>
          </w:tcPr>
          <w:p w14:paraId="65631D12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forestry</w:t>
            </w:r>
          </w:p>
        </w:tc>
        <w:tc>
          <w:tcPr>
            <w:tcW w:w="6746" w:type="dxa"/>
          </w:tcPr>
          <w:p w14:paraId="265F1B86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eftext"/>
                <w:rFonts w:eastAsia="Times New Roman"/>
              </w:rPr>
              <w:t>the main city of a country</w:t>
            </w:r>
            <w:r w:rsidRPr="00A32C1A">
              <w:rPr>
                <w:rFonts w:eastAsia="Times New Roman"/>
              </w:rPr>
              <w:t>, where the country's leaders work</w:t>
            </w:r>
          </w:p>
        </w:tc>
      </w:tr>
      <w:tr w:rsidR="00334088" w:rsidRPr="007C38C4" w14:paraId="49B3C626" w14:textId="77777777" w:rsidTr="005A3332">
        <w:tc>
          <w:tcPr>
            <w:tcW w:w="2552" w:type="dxa"/>
          </w:tcPr>
          <w:p w14:paraId="5431DE11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poultry</w:t>
            </w:r>
          </w:p>
        </w:tc>
        <w:tc>
          <w:tcPr>
            <w:tcW w:w="6746" w:type="dxa"/>
          </w:tcPr>
          <w:p w14:paraId="18211F20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ttext"/>
                <w:rFonts w:eastAsia="Times New Roman"/>
              </w:rPr>
              <w:t>the making of products by hand or machinery</w:t>
            </w:r>
          </w:p>
        </w:tc>
      </w:tr>
      <w:tr w:rsidR="00334088" w:rsidRPr="007C38C4" w14:paraId="1BDB410F" w14:textId="77777777" w:rsidTr="005A3332">
        <w:tc>
          <w:tcPr>
            <w:tcW w:w="2552" w:type="dxa"/>
          </w:tcPr>
          <w:p w14:paraId="10C56A23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crops</w:t>
            </w:r>
          </w:p>
        </w:tc>
        <w:tc>
          <w:tcPr>
            <w:tcW w:w="6746" w:type="dxa"/>
          </w:tcPr>
          <w:p w14:paraId="00857B63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ttext"/>
                <w:rFonts w:eastAsia="Times New Roman"/>
              </w:rPr>
              <w:t>not under the control or rule of another</w:t>
            </w:r>
          </w:p>
        </w:tc>
      </w:tr>
      <w:tr w:rsidR="00334088" w:rsidRPr="007C38C4" w14:paraId="73B1E13C" w14:textId="77777777" w:rsidTr="005A3332">
        <w:tc>
          <w:tcPr>
            <w:tcW w:w="2552" w:type="dxa"/>
          </w:tcPr>
          <w:p w14:paraId="455BA9DA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prehistoric</w:t>
            </w:r>
          </w:p>
        </w:tc>
        <w:tc>
          <w:tcPr>
            <w:tcW w:w="6746" w:type="dxa"/>
          </w:tcPr>
          <w:p w14:paraId="688FE786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eftext"/>
                <w:rFonts w:eastAsia="Times New Roman"/>
              </w:rPr>
              <w:t>of the time very long ago, before history was written down</w:t>
            </w:r>
          </w:p>
        </w:tc>
      </w:tr>
      <w:tr w:rsidR="00334088" w:rsidRPr="007C38C4" w14:paraId="62EC87F4" w14:textId="77777777" w:rsidTr="005A3332">
        <w:tc>
          <w:tcPr>
            <w:tcW w:w="2552" w:type="dxa"/>
          </w:tcPr>
          <w:p w14:paraId="0A1AA7AC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AD</w:t>
            </w:r>
          </w:p>
        </w:tc>
        <w:tc>
          <w:tcPr>
            <w:tcW w:w="6746" w:type="dxa"/>
          </w:tcPr>
          <w:p w14:paraId="3B9F221D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eftext"/>
                <w:rFonts w:eastAsia="Times New Roman"/>
              </w:rPr>
              <w:t>to officially control and lead a country</w:t>
            </w:r>
          </w:p>
        </w:tc>
      </w:tr>
      <w:tr w:rsidR="00334088" w:rsidRPr="007C38C4" w14:paraId="03007D84" w14:textId="77777777" w:rsidTr="005A3332">
        <w:tc>
          <w:tcPr>
            <w:tcW w:w="2552" w:type="dxa"/>
          </w:tcPr>
          <w:p w14:paraId="2728782E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Roman rule</w:t>
            </w:r>
          </w:p>
        </w:tc>
        <w:tc>
          <w:tcPr>
            <w:tcW w:w="6746" w:type="dxa"/>
          </w:tcPr>
          <w:p w14:paraId="56973CB3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eftext"/>
                <w:rFonts w:eastAsia="Times New Roman"/>
              </w:rPr>
              <w:t>a person who is from a country that is not your own</w:t>
            </w:r>
          </w:p>
        </w:tc>
      </w:tr>
      <w:tr w:rsidR="00334088" w:rsidRPr="007C38C4" w14:paraId="17128B83" w14:textId="77777777" w:rsidTr="005A3332">
        <w:tc>
          <w:tcPr>
            <w:tcW w:w="2552" w:type="dxa"/>
          </w:tcPr>
          <w:p w14:paraId="44DBE64D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foreigner</w:t>
            </w:r>
          </w:p>
        </w:tc>
        <w:tc>
          <w:tcPr>
            <w:tcW w:w="6746" w:type="dxa"/>
          </w:tcPr>
          <w:p w14:paraId="431EFE67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lang w:val="en-US" w:eastAsia="nl-NL"/>
              </w:rPr>
              <w:t xml:space="preserve">plants </w:t>
            </w:r>
            <w:r w:rsidRPr="00A32C1A">
              <w:rPr>
                <w:rStyle w:val="dttext"/>
                <w:rFonts w:eastAsia="Times New Roman"/>
              </w:rPr>
              <w:t>that are grown by farmers</w:t>
            </w:r>
          </w:p>
        </w:tc>
      </w:tr>
      <w:tr w:rsidR="00334088" w:rsidRPr="007C38C4" w14:paraId="4FF3EDC0" w14:textId="77777777" w:rsidTr="005A3332">
        <w:tc>
          <w:tcPr>
            <w:tcW w:w="2552" w:type="dxa"/>
          </w:tcPr>
          <w:p w14:paraId="3D7EEF1D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to conquer</w:t>
            </w:r>
          </w:p>
        </w:tc>
        <w:tc>
          <w:tcPr>
            <w:tcW w:w="6746" w:type="dxa"/>
          </w:tcPr>
          <w:p w14:paraId="49A81329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rStyle w:val="deftext"/>
                <w:rFonts w:eastAsia="Times New Roman"/>
              </w:rPr>
              <w:t>the science and practice of caring for forests</w:t>
            </w:r>
          </w:p>
        </w:tc>
      </w:tr>
      <w:tr w:rsidR="00334088" w:rsidRPr="007C38C4" w14:paraId="7C451DF7" w14:textId="77777777" w:rsidTr="005A3332">
        <w:tc>
          <w:tcPr>
            <w:tcW w:w="2552" w:type="dxa"/>
          </w:tcPr>
          <w:p w14:paraId="5BF4C121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independent</w:t>
            </w:r>
          </w:p>
        </w:tc>
        <w:tc>
          <w:tcPr>
            <w:tcW w:w="6746" w:type="dxa"/>
          </w:tcPr>
          <w:p w14:paraId="57A1FBC8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lang w:val="en-US" w:eastAsia="nl-NL"/>
              </w:rPr>
              <w:t>to win by fighting</w:t>
            </w:r>
          </w:p>
        </w:tc>
      </w:tr>
      <w:tr w:rsidR="00334088" w:rsidRPr="007C38C4" w14:paraId="41AB47E0" w14:textId="77777777" w:rsidTr="005A3332">
        <w:tc>
          <w:tcPr>
            <w:tcW w:w="2552" w:type="dxa"/>
          </w:tcPr>
          <w:p w14:paraId="029B85AB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to govern</w:t>
            </w:r>
          </w:p>
        </w:tc>
        <w:tc>
          <w:tcPr>
            <w:tcW w:w="6746" w:type="dxa"/>
          </w:tcPr>
          <w:p w14:paraId="2363AB31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lang w:val="en-US" w:eastAsia="nl-NL"/>
              </w:rPr>
              <w:t>with a rough and uneven surface</w:t>
            </w:r>
          </w:p>
        </w:tc>
      </w:tr>
      <w:tr w:rsidR="00334088" w:rsidRPr="007C38C4" w14:paraId="59424383" w14:textId="77777777" w:rsidTr="005A3332">
        <w:tc>
          <w:tcPr>
            <w:tcW w:w="2552" w:type="dxa"/>
          </w:tcPr>
          <w:p w14:paraId="62F13B62" w14:textId="77777777" w:rsidR="00334088" w:rsidRPr="007C38C4" w:rsidRDefault="00334088" w:rsidP="00334088">
            <w:pPr>
              <w:pStyle w:val="Lijstalinea"/>
              <w:numPr>
                <w:ilvl w:val="0"/>
                <w:numId w:val="34"/>
              </w:numPr>
              <w:rPr>
                <w:lang w:val="en-US" w:eastAsia="nl-NL"/>
              </w:rPr>
            </w:pPr>
            <w:r w:rsidRPr="007C38C4">
              <w:rPr>
                <w:lang w:val="en-US" w:eastAsia="nl-NL"/>
              </w:rPr>
              <w:t>parliament</w:t>
            </w:r>
          </w:p>
        </w:tc>
        <w:tc>
          <w:tcPr>
            <w:tcW w:w="6746" w:type="dxa"/>
          </w:tcPr>
          <w:p w14:paraId="5B8004BA" w14:textId="77777777" w:rsidR="00334088" w:rsidRPr="00A32C1A" w:rsidRDefault="00334088" w:rsidP="00334088">
            <w:pPr>
              <w:pStyle w:val="Lijstalinea"/>
              <w:numPr>
                <w:ilvl w:val="0"/>
                <w:numId w:val="35"/>
              </w:numPr>
              <w:ind w:left="317" w:right="-308" w:hanging="317"/>
              <w:rPr>
                <w:lang w:val="en-US" w:eastAsia="nl-NL"/>
              </w:rPr>
            </w:pPr>
            <w:r w:rsidRPr="00A32C1A">
              <w:rPr>
                <w:lang w:val="en-US" w:eastAsia="nl-NL"/>
              </w:rPr>
              <w:t>with water on every side of it</w:t>
            </w:r>
          </w:p>
        </w:tc>
      </w:tr>
    </w:tbl>
    <w:p w14:paraId="5E24E0AA" w14:textId="77777777" w:rsidR="00334088" w:rsidRPr="00543D1A" w:rsidRDefault="00334088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4E38032F" w14:textId="6EEB8B39" w:rsidR="00543D1A" w:rsidRPr="00543D1A" w:rsidRDefault="00223A89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Connect the items on the left with the correct description on the right.</w:t>
      </w:r>
    </w:p>
    <w:tbl>
      <w:tblPr>
        <w:tblStyle w:val="Tabelraster"/>
        <w:tblW w:w="74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603"/>
      </w:tblGrid>
      <w:tr w:rsidR="00543D1A" w:rsidRPr="00543D1A" w14:paraId="0CB50CC8" w14:textId="77777777" w:rsidTr="00223A89">
        <w:tc>
          <w:tcPr>
            <w:tcW w:w="2802" w:type="dxa"/>
          </w:tcPr>
          <w:p w14:paraId="55DF0355" w14:textId="77777777" w:rsidR="00543D1A" w:rsidRPr="00223A89" w:rsidRDefault="00543D1A" w:rsidP="00223A89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Cardiff</w:t>
            </w:r>
          </w:p>
        </w:tc>
        <w:tc>
          <w:tcPr>
            <w:tcW w:w="4603" w:type="dxa"/>
          </w:tcPr>
          <w:p w14:paraId="678FA4E0" w14:textId="77777777" w:rsidR="00543D1A" w:rsidRPr="00223A89" w:rsidRDefault="00543D1A" w:rsidP="00223A89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Wales</w:t>
            </w:r>
          </w:p>
        </w:tc>
      </w:tr>
      <w:tr w:rsidR="00543D1A" w:rsidRPr="00543D1A" w14:paraId="4062E460" w14:textId="77777777" w:rsidTr="00223A89">
        <w:tc>
          <w:tcPr>
            <w:tcW w:w="2802" w:type="dxa"/>
          </w:tcPr>
          <w:p w14:paraId="18B7FB3F" w14:textId="77777777" w:rsidR="00543D1A" w:rsidRPr="00223A89" w:rsidRDefault="00543D1A" w:rsidP="00223A89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Celts</w:t>
            </w:r>
          </w:p>
        </w:tc>
        <w:tc>
          <w:tcPr>
            <w:tcW w:w="4603" w:type="dxa"/>
          </w:tcPr>
          <w:p w14:paraId="652E6844" w14:textId="77777777" w:rsidR="00543D1A" w:rsidRPr="00223A89" w:rsidRDefault="00543D1A" w:rsidP="00223A89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Language of Wales</w:t>
            </w:r>
          </w:p>
        </w:tc>
      </w:tr>
      <w:tr w:rsidR="00543D1A" w:rsidRPr="00543D1A" w14:paraId="6A1B8092" w14:textId="77777777" w:rsidTr="00223A89">
        <w:tc>
          <w:tcPr>
            <w:tcW w:w="2802" w:type="dxa"/>
          </w:tcPr>
          <w:p w14:paraId="2CE01164" w14:textId="77777777" w:rsidR="00543D1A" w:rsidRPr="00223A89" w:rsidRDefault="00543D1A" w:rsidP="00223A89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Cymru</w:t>
            </w:r>
          </w:p>
        </w:tc>
        <w:tc>
          <w:tcPr>
            <w:tcW w:w="4603" w:type="dxa"/>
          </w:tcPr>
          <w:p w14:paraId="2B07ECFD" w14:textId="77777777" w:rsidR="00543D1A" w:rsidRPr="00223A89" w:rsidRDefault="00543D1A" w:rsidP="00223A89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People of Wales</w:t>
            </w:r>
          </w:p>
        </w:tc>
      </w:tr>
      <w:tr w:rsidR="00543D1A" w:rsidRPr="00543D1A" w14:paraId="540C2C94" w14:textId="77777777" w:rsidTr="00223A89">
        <w:tc>
          <w:tcPr>
            <w:tcW w:w="2802" w:type="dxa"/>
          </w:tcPr>
          <w:p w14:paraId="3C205900" w14:textId="77777777" w:rsidR="00543D1A" w:rsidRPr="00223A89" w:rsidRDefault="00543D1A" w:rsidP="00223A89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Welsh</w:t>
            </w:r>
          </w:p>
        </w:tc>
        <w:tc>
          <w:tcPr>
            <w:tcW w:w="4603" w:type="dxa"/>
          </w:tcPr>
          <w:p w14:paraId="4003276C" w14:textId="77777777" w:rsidR="00543D1A" w:rsidRPr="00223A89" w:rsidRDefault="00543D1A" w:rsidP="00223A89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Capital of Wales</w:t>
            </w:r>
          </w:p>
        </w:tc>
      </w:tr>
      <w:tr w:rsidR="00543D1A" w:rsidRPr="00543D1A" w14:paraId="08F2C3C6" w14:textId="77777777" w:rsidTr="00223A89">
        <w:tc>
          <w:tcPr>
            <w:tcW w:w="2802" w:type="dxa"/>
          </w:tcPr>
          <w:p w14:paraId="72171B81" w14:textId="77777777" w:rsidR="00543D1A" w:rsidRPr="00223A89" w:rsidRDefault="00543D1A" w:rsidP="00223A89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Welsh</w:t>
            </w:r>
          </w:p>
        </w:tc>
        <w:tc>
          <w:tcPr>
            <w:tcW w:w="4603" w:type="dxa"/>
          </w:tcPr>
          <w:p w14:paraId="7B8719B9" w14:textId="77777777" w:rsidR="00543D1A" w:rsidRPr="00223A89" w:rsidRDefault="00543D1A" w:rsidP="00223A89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 w:rsidRPr="00223A89">
              <w:rPr>
                <w:rFonts w:cs="Arial"/>
                <w:lang w:val="en-GB"/>
              </w:rPr>
              <w:t>People who lived in Wales 1000 of years ago</w:t>
            </w:r>
          </w:p>
        </w:tc>
      </w:tr>
    </w:tbl>
    <w:p w14:paraId="012745B7" w14:textId="77777777" w:rsidR="00543D1A" w:rsidRPr="00543D1A" w:rsidRDefault="00543D1A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5AAA38BF" w14:textId="1F5AD550" w:rsidR="00543D1A" w:rsidRPr="00543D1A" w:rsidRDefault="00223A89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For each of the following, write down if it i</w:t>
      </w:r>
      <w:r w:rsidR="00543D1A">
        <w:rPr>
          <w:rFonts w:cs="Arial"/>
          <w:lang w:val="en-GB"/>
        </w:rPr>
        <w:t>s a river or mountains.</w:t>
      </w:r>
    </w:p>
    <w:p w14:paraId="4F4FEB3A" w14:textId="37AAA86D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Brecon Beacons</w:t>
      </w:r>
    </w:p>
    <w:p w14:paraId="47FFEE54" w14:textId="2279D9F1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Cambrian Mountains</w:t>
      </w:r>
    </w:p>
    <w:p w14:paraId="4066F9B0" w14:textId="4379608D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Dee</w:t>
      </w:r>
    </w:p>
    <w:p w14:paraId="4985A15D" w14:textId="318481EE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Severn</w:t>
      </w:r>
    </w:p>
    <w:p w14:paraId="268C511E" w14:textId="170EE56F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5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Snowdonia</w:t>
      </w:r>
    </w:p>
    <w:p w14:paraId="49FE0931" w14:textId="21E2DB97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6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Wye</w:t>
      </w:r>
    </w:p>
    <w:p w14:paraId="31B37930" w14:textId="77777777" w:rsidR="00543D1A" w:rsidRPr="00543D1A" w:rsidRDefault="00543D1A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4D3CFEDA" w14:textId="45245EEF" w:rsidR="00543D1A" w:rsidRPr="00543D1A" w:rsidRDefault="00223A89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Which two main languages do people in Wales speak?</w:t>
      </w:r>
    </w:p>
    <w:p w14:paraId="3809D7EC" w14:textId="6E788DBF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Welsh and Celtic</w:t>
      </w:r>
    </w:p>
    <w:p w14:paraId="6CAD53B2" w14:textId="72958E14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Welsh and Cymru</w:t>
      </w:r>
    </w:p>
    <w:p w14:paraId="5070C122" w14:textId="44E501FF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466435">
        <w:rPr>
          <w:rFonts w:cs="Arial"/>
          <w:lang w:val="en-GB"/>
        </w:rPr>
        <w:t>Welsh and English</w:t>
      </w:r>
    </w:p>
    <w:p w14:paraId="10AE1DBB" w14:textId="00471165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Welsh and Protestant</w:t>
      </w:r>
    </w:p>
    <w:p w14:paraId="02B74363" w14:textId="77777777" w:rsidR="00543D1A" w:rsidRPr="00543D1A" w:rsidRDefault="00543D1A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4BA0E622" w14:textId="55840799" w:rsidR="00543D1A" w:rsidRPr="00543D1A" w:rsidRDefault="00223A89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d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Since when is Wales part of the United Kingdom?</w:t>
      </w:r>
    </w:p>
    <w:p w14:paraId="76A996E5" w14:textId="216379DF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1410</w:t>
      </w:r>
    </w:p>
    <w:p w14:paraId="630EB94A" w14:textId="64796D50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1536</w:t>
      </w:r>
    </w:p>
    <w:p w14:paraId="46E72D84" w14:textId="17BAD9C7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466435">
        <w:rPr>
          <w:rFonts w:cs="Arial"/>
          <w:lang w:val="en-GB"/>
        </w:rPr>
        <w:t>1801</w:t>
      </w:r>
    </w:p>
    <w:p w14:paraId="2DC9EE6E" w14:textId="0A42987B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1999</w:t>
      </w:r>
    </w:p>
    <w:p w14:paraId="36CCC4C2" w14:textId="77777777" w:rsidR="00543D1A" w:rsidRPr="00543D1A" w:rsidRDefault="00543D1A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68A5154D" w14:textId="5D490650" w:rsidR="00543D1A" w:rsidRPr="00543D1A" w:rsidRDefault="00223A89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e</w:t>
      </w:r>
      <w:r>
        <w:rPr>
          <w:rFonts w:cs="Arial"/>
          <w:lang w:val="en-GB"/>
        </w:rPr>
        <w:tab/>
      </w:r>
      <w:r w:rsidR="00543D1A">
        <w:rPr>
          <w:rFonts w:cs="Arial"/>
          <w:lang w:val="en-GB"/>
        </w:rPr>
        <w:t xml:space="preserve">What does </w:t>
      </w:r>
      <w:r w:rsidR="00543D1A" w:rsidRPr="00543D1A">
        <w:rPr>
          <w:rFonts w:cs="Arial"/>
          <w:lang w:val="en-GB"/>
        </w:rPr>
        <w:t>Y Ddraig Goch mean?</w:t>
      </w:r>
    </w:p>
    <w:p w14:paraId="202F081C" w14:textId="38A4183C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Foreigner.</w:t>
      </w:r>
    </w:p>
    <w:p w14:paraId="4756EB8B" w14:textId="26918B92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Red Dragon.</w:t>
      </w:r>
    </w:p>
    <w:p w14:paraId="6C971760" w14:textId="36138993" w:rsidR="00543D1A" w:rsidRPr="00543D1A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Wales.</w:t>
      </w:r>
    </w:p>
    <w:p w14:paraId="7A141D25" w14:textId="7AB61368" w:rsidR="001B27EB" w:rsidRDefault="00223A89" w:rsidP="00543D1A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543D1A" w:rsidRPr="00543D1A">
        <w:rPr>
          <w:rFonts w:cs="Arial"/>
          <w:lang w:val="en-GB"/>
        </w:rPr>
        <w:t>The Welsh Symbol.</w:t>
      </w:r>
    </w:p>
    <w:sectPr w:rsidR="001B27EB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5A3332" w:rsidRDefault="005A3332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5A3332" w:rsidRDefault="005A3332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764928EE" w:rsidR="005A3332" w:rsidRPr="00EB3AE1" w:rsidRDefault="005A3332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24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5A3332" w:rsidRPr="0074604C" w:rsidRDefault="005A3332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5A3332" w:rsidRPr="00CF1C3B" w:rsidRDefault="005A3332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5A3332" w:rsidRDefault="005A3332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5A3332" w:rsidRDefault="005A3332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D65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31"/>
  </w:num>
  <w:num w:numId="4">
    <w:abstractNumId w:val="1"/>
  </w:num>
  <w:num w:numId="5">
    <w:abstractNumId w:val="0"/>
  </w:num>
  <w:num w:numId="6">
    <w:abstractNumId w:val="35"/>
  </w:num>
  <w:num w:numId="7">
    <w:abstractNumId w:val="20"/>
  </w:num>
  <w:num w:numId="8">
    <w:abstractNumId w:val="38"/>
  </w:num>
  <w:num w:numId="9">
    <w:abstractNumId w:val="24"/>
  </w:num>
  <w:num w:numId="10">
    <w:abstractNumId w:val="6"/>
  </w:num>
  <w:num w:numId="11">
    <w:abstractNumId w:val="34"/>
  </w:num>
  <w:num w:numId="12">
    <w:abstractNumId w:val="22"/>
  </w:num>
  <w:num w:numId="13">
    <w:abstractNumId w:val="18"/>
  </w:num>
  <w:num w:numId="14">
    <w:abstractNumId w:val="23"/>
  </w:num>
  <w:num w:numId="15">
    <w:abstractNumId w:val="2"/>
  </w:num>
  <w:num w:numId="16">
    <w:abstractNumId w:val="10"/>
  </w:num>
  <w:num w:numId="17">
    <w:abstractNumId w:val="39"/>
  </w:num>
  <w:num w:numId="18">
    <w:abstractNumId w:val="3"/>
  </w:num>
  <w:num w:numId="19">
    <w:abstractNumId w:val="4"/>
  </w:num>
  <w:num w:numId="20">
    <w:abstractNumId w:val="30"/>
  </w:num>
  <w:num w:numId="21">
    <w:abstractNumId w:val="27"/>
  </w:num>
  <w:num w:numId="22">
    <w:abstractNumId w:val="16"/>
  </w:num>
  <w:num w:numId="23">
    <w:abstractNumId w:val="36"/>
  </w:num>
  <w:num w:numId="24">
    <w:abstractNumId w:val="14"/>
  </w:num>
  <w:num w:numId="25">
    <w:abstractNumId w:val="8"/>
  </w:num>
  <w:num w:numId="26">
    <w:abstractNumId w:val="19"/>
  </w:num>
  <w:num w:numId="27">
    <w:abstractNumId w:val="32"/>
  </w:num>
  <w:num w:numId="28">
    <w:abstractNumId w:val="9"/>
  </w:num>
  <w:num w:numId="29">
    <w:abstractNumId w:val="33"/>
  </w:num>
  <w:num w:numId="30">
    <w:abstractNumId w:val="21"/>
  </w:num>
  <w:num w:numId="31">
    <w:abstractNumId w:val="11"/>
  </w:num>
  <w:num w:numId="32">
    <w:abstractNumId w:val="13"/>
  </w:num>
  <w:num w:numId="33">
    <w:abstractNumId w:val="5"/>
  </w:num>
  <w:num w:numId="34">
    <w:abstractNumId w:val="7"/>
  </w:num>
  <w:num w:numId="35">
    <w:abstractNumId w:val="37"/>
  </w:num>
  <w:num w:numId="36">
    <w:abstractNumId w:val="17"/>
  </w:num>
  <w:num w:numId="37">
    <w:abstractNumId w:val="28"/>
  </w:num>
  <w:num w:numId="38">
    <w:abstractNumId w:val="25"/>
  </w:num>
  <w:num w:numId="39">
    <w:abstractNumId w:val="1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BE2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3D1A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kids.britannica.com/kids/article/Wales/353904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E931-4678-0F48-BE65-3AB503AC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569</TotalTime>
  <Pages>2</Pages>
  <Words>553</Words>
  <Characters>2344</Characters>
  <Application>Microsoft Macintosh Word</Application>
  <DocSecurity>0</DocSecurity>
  <Lines>146</Lines>
  <Paragraphs>144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2753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173</cp:revision>
  <cp:lastPrinted>2013-09-27T09:37:00Z</cp:lastPrinted>
  <dcterms:created xsi:type="dcterms:W3CDTF">2016-10-06T15:58:00Z</dcterms:created>
  <dcterms:modified xsi:type="dcterms:W3CDTF">2022-06-10T11:36:00Z</dcterms:modified>
  <cp:category/>
</cp:coreProperties>
</file>