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6FC922F7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342FB0">
        <w:rPr>
          <w:rFonts w:cs="Arial"/>
          <w:b/>
          <w:noProof/>
          <w:sz w:val="28"/>
          <w:szCs w:val="28"/>
          <w:lang w:val="en-GB"/>
        </w:rPr>
        <w:t>Flower Power</w:t>
      </w:r>
    </w:p>
    <w:p w14:paraId="0293119D" w14:textId="2B135D68" w:rsidR="0066503C" w:rsidRPr="00FB4509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1FB00C4E" w:rsidR="002E5E6D" w:rsidRDefault="00831B7F" w:rsidP="000F488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00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In het Verenigd Koninkrijk kondigt de lente zich al vroeg aan. De vraag is of dat langetermijngevolgen zal hebben voor de natuur.</w:t>
      </w:r>
    </w:p>
    <w:p w14:paraId="1F32FD8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25EA7BB5" w:rsidR="00D86C3E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A27381" w:rsidRPr="00A27381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A27381">
        <w:rPr>
          <w:rFonts w:eastAsia="Times New Roman"/>
          <w:sz w:val="20"/>
          <w:szCs w:val="20"/>
          <w:lang w:val="en-GB"/>
        </w:rPr>
        <w:t>b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5192EFF2" w:rsidR="0066503C" w:rsidRPr="00831B7F" w:rsidRDefault="00831B7F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bCs/>
          <w:sz w:val="20"/>
          <w:szCs w:val="20"/>
          <w:lang w:val="en-GB"/>
        </w:rPr>
      </w:pPr>
      <w:r>
        <w:rPr>
          <w:rFonts w:eastAsia="Times New Roman"/>
          <w:bCs/>
          <w:sz w:val="20"/>
          <w:szCs w:val="20"/>
          <w:lang w:val="en-GB"/>
        </w:rPr>
        <w:t xml:space="preserve">This year, </w:t>
      </w:r>
      <w:r w:rsidRPr="00831B7F">
        <w:rPr>
          <w:rFonts w:eastAsia="Times New Roman"/>
          <w:bCs/>
          <w:sz w:val="20"/>
          <w:szCs w:val="20"/>
          <w:lang w:val="en-GB"/>
        </w:rPr>
        <w:t>spring may come as early as February in the UK.</w:t>
      </w:r>
    </w:p>
    <w:p w14:paraId="1560C950" w14:textId="517ED1AF" w:rsidR="00F00EDA" w:rsidRDefault="00F00EDA" w:rsidP="000F4883">
      <w:pPr>
        <w:spacing w:after="0" w:line="240" w:lineRule="auto"/>
        <w:ind w:right="-200"/>
        <w:rPr>
          <w:rFonts w:cs="Arial"/>
          <w:b/>
          <w:lang w:val="en-GB"/>
        </w:rPr>
      </w:pPr>
    </w:p>
    <w:p w14:paraId="51D130ED" w14:textId="77777777" w:rsidR="003D46AE" w:rsidRDefault="003D46AE" w:rsidP="000F4883">
      <w:pPr>
        <w:pStyle w:val="Geenafstand"/>
        <w:ind w:right="-200"/>
        <w:rPr>
          <w:rFonts w:cs="Arial"/>
          <w:u w:val="single"/>
          <w:lang w:val="en-GB"/>
        </w:rPr>
      </w:pPr>
    </w:p>
    <w:p w14:paraId="562A9AF2" w14:textId="6A7C6FD8" w:rsidR="0066503C" w:rsidRPr="00F74C06" w:rsidRDefault="0066503C" w:rsidP="000F4883">
      <w:pPr>
        <w:pStyle w:val="Geenafstand"/>
        <w:ind w:right="-200"/>
        <w:rPr>
          <w:rFonts w:cs="Arial"/>
          <w:lang w:val="en-GB"/>
        </w:rPr>
      </w:pPr>
      <w:bookmarkStart w:id="0" w:name="_GoBack"/>
      <w:bookmarkEnd w:id="0"/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45C793F6" w14:textId="5FC1D3E4" w:rsidR="001577C7" w:rsidRDefault="001577C7" w:rsidP="001577C7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>Name 5 or more</w:t>
      </w:r>
      <w:r w:rsidR="00A31564">
        <w:rPr>
          <w:rFonts w:eastAsia="MS Mincho" w:cs="Arial"/>
          <w:lang w:val="en-US" w:eastAsia="nl-NL"/>
        </w:rPr>
        <w:t xml:space="preserve"> words related to</w:t>
      </w:r>
      <w:r>
        <w:rPr>
          <w:rFonts w:eastAsia="MS Mincho" w:cs="Arial"/>
          <w:lang w:val="en-US" w:eastAsia="nl-NL"/>
        </w:rPr>
        <w:t xml:space="preserve"> plants</w:t>
      </w:r>
      <w:r w:rsidR="00A31564">
        <w:rPr>
          <w:rFonts w:eastAsia="MS Mincho" w:cs="Arial"/>
          <w:lang w:val="en-US" w:eastAsia="nl-NL"/>
        </w:rPr>
        <w:t>. NO flowers allowed on this list</w:t>
      </w:r>
      <w:r>
        <w:rPr>
          <w:rFonts w:eastAsia="MS Mincho" w:cs="Arial"/>
          <w:lang w:val="en-US" w:eastAsia="nl-NL"/>
        </w:rPr>
        <w:t>.</w:t>
      </w:r>
    </w:p>
    <w:p w14:paraId="25E43EE7" w14:textId="06A5FFD9" w:rsidR="001577C7" w:rsidRDefault="001577C7" w:rsidP="001577C7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b</w:t>
      </w:r>
      <w:r>
        <w:rPr>
          <w:rFonts w:eastAsia="MS Mincho" w:cs="Arial"/>
          <w:lang w:val="en-US" w:eastAsia="nl-NL"/>
        </w:rPr>
        <w:tab/>
        <w:t>Now name 5 or more flowers.</w:t>
      </w: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12AFADC1" w:rsidR="007324C0" w:rsidRPr="007324C0" w:rsidRDefault="005677B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Flower Power</w:t>
      </w:r>
    </w:p>
    <w:p w14:paraId="42052D7B" w14:textId="77777777" w:rsidR="00AC0C5B" w:rsidRDefault="00AC0C5B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7953D25D" w14:textId="260604F0" w:rsidR="005677B9" w:rsidRDefault="005677B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eastAsia="Times New Roman"/>
        </w:rPr>
        <w:t>It looks as if flowers are blooming a month early because of climate change</w:t>
      </w:r>
      <w:r>
        <w:rPr>
          <w:rFonts w:cs="Arial"/>
          <w:lang w:val="en-GB"/>
        </w:rPr>
        <w:t xml:space="preserve"> in the UK.</w:t>
      </w:r>
    </w:p>
    <w:p w14:paraId="57176106" w14:textId="1CE88E5D" w:rsidR="007324C0" w:rsidRDefault="005677B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out more </w:t>
      </w:r>
      <w:hyperlink r:id="rId11" w:history="1">
        <w:r w:rsidR="00941591">
          <w:rPr>
            <w:rStyle w:val="Hyperlink"/>
            <w:rFonts w:cs="Arial"/>
            <w:lang w:val="en-GB"/>
          </w:rPr>
          <w:t>here</w:t>
        </w:r>
      </w:hyperlink>
      <w:r w:rsidR="007324C0" w:rsidRPr="007324C0">
        <w:rPr>
          <w:rFonts w:cs="Arial"/>
          <w:lang w:val="en-GB"/>
        </w:rPr>
        <w:t>.</w:t>
      </w:r>
    </w:p>
    <w:p w14:paraId="30AD61EA" w14:textId="77777777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4F1A525" w14:textId="055953E3" w:rsidR="00692914" w:rsidRDefault="00CD2074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Read the text. 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B65BBB" w:rsidRPr="00787D55" w14:paraId="546CB971" w14:textId="77777777" w:rsidTr="001577C7">
        <w:tc>
          <w:tcPr>
            <w:tcW w:w="1809" w:type="dxa"/>
          </w:tcPr>
          <w:p w14:paraId="07CAD02B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blooming</w:t>
            </w:r>
          </w:p>
        </w:tc>
        <w:tc>
          <w:tcPr>
            <w:tcW w:w="7655" w:type="dxa"/>
          </w:tcPr>
          <w:p w14:paraId="0AA0C330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0375FB">
              <w:rPr>
                <w:rStyle w:val="deftext"/>
                <w:rFonts w:eastAsia="Times New Roman"/>
              </w:rPr>
              <w:t>change behaviour so that it is easier to live in a particular situation</w:t>
            </w:r>
          </w:p>
        </w:tc>
      </w:tr>
      <w:tr w:rsidR="00B65BBB" w:rsidRPr="00787D55" w14:paraId="5C23607A" w14:textId="77777777" w:rsidTr="001577C7">
        <w:tc>
          <w:tcPr>
            <w:tcW w:w="1809" w:type="dxa"/>
          </w:tcPr>
          <w:p w14:paraId="6A12F5F2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accounts</w:t>
            </w:r>
          </w:p>
        </w:tc>
        <w:tc>
          <w:tcPr>
            <w:tcW w:w="7655" w:type="dxa"/>
          </w:tcPr>
          <w:p w14:paraId="74723335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0375FB">
              <w:rPr>
                <w:rStyle w:val="deftext"/>
                <w:rFonts w:eastAsia="Times New Roman"/>
              </w:rPr>
              <w:t>descriptions of a situation, stories or reports</w:t>
            </w:r>
            <w:r w:rsidRPr="000375FB">
              <w:rPr>
                <w:rFonts w:eastAsia="Times New Roman"/>
              </w:rPr>
              <w:t xml:space="preserve"> </w:t>
            </w:r>
            <w:r w:rsidRPr="000375FB">
              <w:rPr>
                <w:rStyle w:val="deftext"/>
                <w:rFonts w:eastAsia="Times New Roman"/>
              </w:rPr>
              <w:t>about something</w:t>
            </w:r>
          </w:p>
        </w:tc>
      </w:tr>
      <w:tr w:rsidR="00B65BBB" w:rsidRPr="00787D55" w14:paraId="6C4B26E3" w14:textId="77777777" w:rsidTr="001577C7">
        <w:tc>
          <w:tcPr>
            <w:tcW w:w="1809" w:type="dxa"/>
          </w:tcPr>
          <w:p w14:paraId="54391BA2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a span</w:t>
            </w:r>
          </w:p>
        </w:tc>
        <w:tc>
          <w:tcPr>
            <w:tcW w:w="7655" w:type="dxa"/>
          </w:tcPr>
          <w:p w14:paraId="2DE60499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787D55">
              <w:rPr>
                <w:rStyle w:val="style-scope"/>
              </w:rPr>
              <w:t>have a strong effect</w:t>
            </w:r>
          </w:p>
        </w:tc>
      </w:tr>
      <w:tr w:rsidR="00B65BBB" w:rsidRPr="00787D55" w14:paraId="3C67ED27" w14:textId="77777777" w:rsidTr="001577C7">
        <w:tc>
          <w:tcPr>
            <w:tcW w:w="1809" w:type="dxa"/>
          </w:tcPr>
          <w:p w14:paraId="1A1FD358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observations</w:t>
            </w:r>
          </w:p>
        </w:tc>
        <w:tc>
          <w:tcPr>
            <w:tcW w:w="7655" w:type="dxa"/>
          </w:tcPr>
          <w:p w14:paraId="51FB9AA1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0375FB">
              <w:rPr>
                <w:rStyle w:val="deftext"/>
                <w:rFonts w:eastAsia="Times New Roman"/>
              </w:rPr>
              <w:t>in a state in which two or more things do not match one another</w:t>
            </w:r>
          </w:p>
        </w:tc>
      </w:tr>
      <w:tr w:rsidR="00B65BBB" w:rsidRPr="00787D55" w14:paraId="1259EB79" w14:textId="77777777" w:rsidTr="001577C7">
        <w:tc>
          <w:tcPr>
            <w:tcW w:w="1809" w:type="dxa"/>
          </w:tcPr>
          <w:p w14:paraId="7A01C2C3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flowering</w:t>
            </w:r>
          </w:p>
        </w:tc>
        <w:tc>
          <w:tcPr>
            <w:tcW w:w="7655" w:type="dxa"/>
          </w:tcPr>
          <w:p w14:paraId="3099ABA0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787D55">
              <w:rPr>
                <w:rStyle w:val="style-scope"/>
              </w:rPr>
              <w:t xml:space="preserve">make something come closer to something else </w:t>
            </w:r>
          </w:p>
        </w:tc>
      </w:tr>
      <w:tr w:rsidR="00B65BBB" w:rsidRPr="00787D55" w14:paraId="03859E27" w14:textId="77777777" w:rsidTr="001577C7">
        <w:tc>
          <w:tcPr>
            <w:tcW w:w="1809" w:type="dxa"/>
          </w:tcPr>
          <w:p w14:paraId="1EAB4C56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associate</w:t>
            </w:r>
          </w:p>
        </w:tc>
        <w:tc>
          <w:tcPr>
            <w:tcW w:w="7655" w:type="dxa"/>
          </w:tcPr>
          <w:p w14:paraId="2C9C4EBE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making and having flowers</w:t>
            </w:r>
          </w:p>
        </w:tc>
      </w:tr>
      <w:tr w:rsidR="00B65BBB" w:rsidRPr="00787D55" w14:paraId="063C62ED" w14:textId="77777777" w:rsidTr="001577C7">
        <w:tc>
          <w:tcPr>
            <w:tcW w:w="1809" w:type="dxa"/>
          </w:tcPr>
          <w:p w14:paraId="3810EA74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spring</w:t>
            </w:r>
          </w:p>
        </w:tc>
        <w:tc>
          <w:tcPr>
            <w:tcW w:w="7655" w:type="dxa"/>
          </w:tcPr>
          <w:p w14:paraId="7BFF2506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making and having flowers</w:t>
            </w:r>
          </w:p>
        </w:tc>
      </w:tr>
      <w:tr w:rsidR="00B65BBB" w:rsidRPr="00787D55" w14:paraId="219429A2" w14:textId="77777777" w:rsidTr="001577C7">
        <w:tc>
          <w:tcPr>
            <w:tcW w:w="1809" w:type="dxa"/>
          </w:tcPr>
          <w:p w14:paraId="55ABC86E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impact</w:t>
            </w:r>
          </w:p>
        </w:tc>
        <w:tc>
          <w:tcPr>
            <w:tcW w:w="7655" w:type="dxa"/>
          </w:tcPr>
          <w:p w14:paraId="3A3515DA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a </w:t>
            </w:r>
            <w:r w:rsidRPr="000375FB">
              <w:rPr>
                <w:rStyle w:val="deftext"/>
                <w:rFonts w:eastAsia="Times New Roman"/>
              </w:rPr>
              <w:t>period of time</w:t>
            </w:r>
          </w:p>
        </w:tc>
      </w:tr>
      <w:tr w:rsidR="00B65BBB" w:rsidRPr="00787D55" w14:paraId="1F830B83" w14:textId="77777777" w:rsidTr="001577C7">
        <w:tc>
          <w:tcPr>
            <w:tcW w:w="1809" w:type="dxa"/>
          </w:tcPr>
          <w:p w14:paraId="4C0DF2BC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alarming</w:t>
            </w:r>
          </w:p>
        </w:tc>
        <w:tc>
          <w:tcPr>
            <w:tcW w:w="7655" w:type="dxa"/>
          </w:tcPr>
          <w:p w14:paraId="4E25E9B1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787D55">
              <w:rPr>
                <w:rStyle w:val="style-scope"/>
              </w:rPr>
              <w:t>react</w:t>
            </w:r>
          </w:p>
        </w:tc>
      </w:tr>
      <w:tr w:rsidR="00B65BBB" w:rsidRPr="00787D55" w14:paraId="54C3168A" w14:textId="77777777" w:rsidTr="001577C7">
        <w:tc>
          <w:tcPr>
            <w:tcW w:w="1809" w:type="dxa"/>
          </w:tcPr>
          <w:p w14:paraId="015D5CC3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attract</w:t>
            </w:r>
          </w:p>
        </w:tc>
        <w:tc>
          <w:tcPr>
            <w:tcW w:w="7655" w:type="dxa"/>
          </w:tcPr>
          <w:p w14:paraId="75BC52D8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787D55">
              <w:rPr>
                <w:rStyle w:val="style-scope"/>
              </w:rPr>
              <w:t>stay alive</w:t>
            </w:r>
          </w:p>
        </w:tc>
      </w:tr>
      <w:tr w:rsidR="00B65BBB" w:rsidRPr="00787D55" w14:paraId="3205B2F2" w14:textId="77777777" w:rsidTr="001577C7">
        <w:tc>
          <w:tcPr>
            <w:tcW w:w="1809" w:type="dxa"/>
          </w:tcPr>
          <w:p w14:paraId="5B448B11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respond</w:t>
            </w:r>
          </w:p>
        </w:tc>
        <w:tc>
          <w:tcPr>
            <w:tcW w:w="7655" w:type="dxa"/>
          </w:tcPr>
          <w:p w14:paraId="6F97EA55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0375FB">
              <w:rPr>
                <w:rStyle w:val="deftext"/>
                <w:rFonts w:eastAsia="Times New Roman"/>
              </w:rPr>
              <w:t>the season between winter and summer, when plants and trees begin to grow</w:t>
            </w:r>
          </w:p>
        </w:tc>
      </w:tr>
      <w:tr w:rsidR="00B65BBB" w:rsidRPr="00787D55" w14:paraId="1FDD080E" w14:textId="77777777" w:rsidTr="001577C7">
        <w:tc>
          <w:tcPr>
            <w:tcW w:w="1809" w:type="dxa"/>
          </w:tcPr>
          <w:p w14:paraId="1FAEAF54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out of synch</w:t>
            </w:r>
          </w:p>
        </w:tc>
        <w:tc>
          <w:tcPr>
            <w:tcW w:w="7655" w:type="dxa"/>
          </w:tcPr>
          <w:p w14:paraId="0B88F2F3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things noticed by watching and listening</w:t>
            </w:r>
          </w:p>
        </w:tc>
      </w:tr>
      <w:tr w:rsidR="00B65BBB" w:rsidRPr="00787D55" w14:paraId="20D16B42" w14:textId="77777777" w:rsidTr="001577C7">
        <w:tc>
          <w:tcPr>
            <w:tcW w:w="1809" w:type="dxa"/>
          </w:tcPr>
          <w:p w14:paraId="7D8AC844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adapt</w:t>
            </w:r>
          </w:p>
        </w:tc>
        <w:tc>
          <w:tcPr>
            <w:tcW w:w="7655" w:type="dxa"/>
          </w:tcPr>
          <w:p w14:paraId="5031C7F9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0375FB">
              <w:rPr>
                <w:rStyle w:val="deftext"/>
                <w:rFonts w:eastAsia="Times New Roman"/>
              </w:rPr>
              <w:t>think of one thing when you think of another thing</w:t>
            </w:r>
          </w:p>
        </w:tc>
      </w:tr>
      <w:tr w:rsidR="00B65BBB" w:rsidRPr="00787D55" w14:paraId="2199EAEA" w14:textId="77777777" w:rsidTr="001577C7">
        <w:tc>
          <w:tcPr>
            <w:tcW w:w="1809" w:type="dxa"/>
          </w:tcPr>
          <w:p w14:paraId="1D0C879D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to survive</w:t>
            </w:r>
          </w:p>
        </w:tc>
        <w:tc>
          <w:tcPr>
            <w:tcW w:w="7655" w:type="dxa"/>
          </w:tcPr>
          <w:p w14:paraId="04BB5433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0375FB">
              <w:rPr>
                <w:rStyle w:val="deftext"/>
                <w:rFonts w:eastAsia="Times New Roman"/>
              </w:rPr>
              <w:t>ways of behaving</w:t>
            </w:r>
          </w:p>
        </w:tc>
      </w:tr>
      <w:tr w:rsidR="00B65BBB" w:rsidRPr="00787D55" w14:paraId="2334A7F9" w14:textId="77777777" w:rsidTr="001577C7">
        <w:tc>
          <w:tcPr>
            <w:tcW w:w="1809" w:type="dxa"/>
          </w:tcPr>
          <w:p w14:paraId="28D5EA4D" w14:textId="77777777" w:rsidR="00B65BBB" w:rsidRPr="00787D55" w:rsidRDefault="00B65BBB" w:rsidP="00B65BBB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rStyle w:val="deftext"/>
                <w:rFonts w:eastAsia="Times New Roman"/>
              </w:rPr>
            </w:pPr>
            <w:r w:rsidRPr="00787D55">
              <w:rPr>
                <w:rStyle w:val="deftext"/>
                <w:rFonts w:eastAsia="Times New Roman"/>
              </w:rPr>
              <w:t>habits</w:t>
            </w:r>
          </w:p>
        </w:tc>
        <w:tc>
          <w:tcPr>
            <w:tcW w:w="7655" w:type="dxa"/>
          </w:tcPr>
          <w:p w14:paraId="318A56E7" w14:textId="77777777" w:rsidR="00B65BBB" w:rsidRPr="00787D55" w:rsidRDefault="00B65BBB" w:rsidP="00B65BBB">
            <w:pPr>
              <w:pStyle w:val="Lijstalinea"/>
              <w:numPr>
                <w:ilvl w:val="0"/>
                <w:numId w:val="29"/>
              </w:numPr>
              <w:ind w:left="318"/>
              <w:contextualSpacing w:val="0"/>
              <w:rPr>
                <w:rStyle w:val="style-scope"/>
              </w:rPr>
            </w:pPr>
            <w:r w:rsidRPr="00787D55">
              <w:rPr>
                <w:rStyle w:val="style-scope"/>
              </w:rPr>
              <w:t>worrying, giving cause for alarm</w:t>
            </w:r>
          </w:p>
        </w:tc>
      </w:tr>
    </w:tbl>
    <w:p w14:paraId="5D7EC3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7082A6D6" w14:textId="77777777" w:rsidR="00B65BBB" w:rsidRDefault="00B65BBB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7F35DB4B" w14:textId="1D849AB3" w:rsidR="005E52B9" w:rsidRPr="00742E73" w:rsidRDefault="00372760" w:rsidP="005E52B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5E52B9" w:rsidRPr="00742E73">
        <w:rPr>
          <w:rFonts w:cs="Arial"/>
          <w:lang w:val="en-GB"/>
        </w:rPr>
        <w:t xml:space="preserve">Why are </w:t>
      </w:r>
      <w:r w:rsidR="005E52B9">
        <w:rPr>
          <w:rFonts w:cs="Arial"/>
          <w:lang w:val="en-GB"/>
        </w:rPr>
        <w:t>flowers blooming earlier?</w:t>
      </w:r>
    </w:p>
    <w:p w14:paraId="502ACA33" w14:textId="42E8CF7F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Because of Brexit, flowers in the UK don’t have to follow EU regulations any more.</w:t>
      </w:r>
    </w:p>
    <w:p w14:paraId="149BED68" w14:textId="5F517E7F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Because the temperatures are warmer earlier in the year as a result of climate change.</w:t>
      </w:r>
    </w:p>
    <w:p w14:paraId="3CEF7151" w14:textId="62D972BD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Because they want to attract particular types of insects as soon as possible.</w:t>
      </w:r>
    </w:p>
    <w:p w14:paraId="48DB15A7" w14:textId="694C600A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The flowers are blooming in survival mode because more and more Insects are becoming extinct.</w:t>
      </w:r>
    </w:p>
    <w:p w14:paraId="17DA90B8" w14:textId="77777777" w:rsidR="005E52B9" w:rsidRPr="00742E73" w:rsidRDefault="005E52B9" w:rsidP="005E52B9">
      <w:pPr>
        <w:tabs>
          <w:tab w:val="left" w:pos="426"/>
        </w:tabs>
        <w:spacing w:line="240" w:lineRule="auto"/>
        <w:ind w:right="-200"/>
        <w:rPr>
          <w:rFonts w:cs="Arial"/>
          <w:lang w:val="en-GB"/>
        </w:rPr>
      </w:pPr>
    </w:p>
    <w:p w14:paraId="36EEAFA5" w14:textId="77589CCF" w:rsidR="005E52B9" w:rsidRDefault="00372760" w:rsidP="005E52B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5E52B9" w:rsidRPr="00742E73">
        <w:rPr>
          <w:rFonts w:cs="Arial"/>
          <w:lang w:val="en-GB"/>
        </w:rPr>
        <w:t>Why does it matter when flowers bloom?</w:t>
      </w:r>
    </w:p>
    <w:p w14:paraId="7DD52DBF" w14:textId="4F1D030B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Birds and insects need flowers to live. If flowers bloom at changing times, they will be upset and drop dead.</w:t>
      </w:r>
    </w:p>
    <w:p w14:paraId="7648EC4C" w14:textId="003D51DD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It does not really matter. It is only important that flowers bloom at some time of the year.</w:t>
      </w:r>
    </w:p>
    <w:p w14:paraId="669E1FCF" w14:textId="2E7C3C53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Many animals and insects need plants to survive. They could die if they missed the flowers blooming.</w:t>
      </w:r>
    </w:p>
    <w:p w14:paraId="5B37404F" w14:textId="5652DA8F" w:rsidR="005E52B9" w:rsidRPr="005E52B9" w:rsidRDefault="00372760" w:rsidP="005224D1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 xml:space="preserve">Scientists and professors at Cambridge University need to know when flowers bloom </w:t>
      </w:r>
      <w:r w:rsidR="00BF1EF9">
        <w:rPr>
          <w:rFonts w:ascii="Calibri" w:eastAsia="Calibri" w:hAnsi="Calibri" w:cs="Arial"/>
          <w:sz w:val="22"/>
          <w:szCs w:val="22"/>
          <w:lang w:val="en-GB" w:eastAsia="en-US"/>
        </w:rPr>
        <w:t>for their work</w:t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71AAF70E" w14:textId="77777777" w:rsidR="005E52B9" w:rsidRPr="00742E73" w:rsidRDefault="005E52B9" w:rsidP="005E52B9">
      <w:pPr>
        <w:tabs>
          <w:tab w:val="left" w:pos="426"/>
        </w:tabs>
        <w:spacing w:line="240" w:lineRule="auto"/>
        <w:ind w:right="-200"/>
        <w:rPr>
          <w:rFonts w:cs="Arial"/>
          <w:lang w:val="en-GB"/>
        </w:rPr>
      </w:pPr>
    </w:p>
    <w:p w14:paraId="46D4C48E" w14:textId="2DE2F834" w:rsidR="005E52B9" w:rsidRPr="00742E73" w:rsidRDefault="00372760" w:rsidP="005E52B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5E52B9" w:rsidRPr="00742E73">
        <w:rPr>
          <w:rFonts w:cs="Arial"/>
          <w:lang w:val="en-GB"/>
        </w:rPr>
        <w:t>What is “Nature’s Calendar”?</w:t>
      </w:r>
    </w:p>
    <w:p w14:paraId="6B8547C9" w14:textId="68D50490" w:rsidR="005E52B9" w:rsidRPr="005E52B9" w:rsidRDefault="00372760" w:rsidP="005E52B9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A calendar with pictures of flowers.</w:t>
      </w:r>
    </w:p>
    <w:p w14:paraId="731FDFCE" w14:textId="160CB30A" w:rsidR="005E52B9" w:rsidRPr="005E52B9" w:rsidRDefault="00372760" w:rsidP="005E52B9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A charity in the UK that studies climate change.</w:t>
      </w:r>
    </w:p>
    <w:p w14:paraId="28D9D05B" w14:textId="7DD34EA0" w:rsidR="005E52B9" w:rsidRPr="005E52B9" w:rsidRDefault="00372760" w:rsidP="005E52B9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A collection of data related to plants.</w:t>
      </w:r>
    </w:p>
    <w:p w14:paraId="471B09E6" w14:textId="027B78BA" w:rsidR="005E52B9" w:rsidRPr="005E52B9" w:rsidRDefault="00372760" w:rsidP="005E52B9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5E52B9" w:rsidRPr="005E52B9">
        <w:rPr>
          <w:rFonts w:ascii="Calibri" w:eastAsia="Calibri" w:hAnsi="Calibri" w:cs="Arial"/>
          <w:sz w:val="22"/>
          <w:szCs w:val="22"/>
          <w:lang w:val="en-GB" w:eastAsia="en-US"/>
        </w:rPr>
        <w:t>A season calendar for nature in the UK.</w:t>
      </w:r>
    </w:p>
    <w:p w14:paraId="16DDB3C8" w14:textId="77777777" w:rsidR="005E52B9" w:rsidRDefault="005E52B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BA5A03D" w14:textId="4B7A4CD9" w:rsidR="00815651" w:rsidRPr="001C418F" w:rsidRDefault="00815651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815651" w:rsidRPr="001C418F" w:rsidSect="005224D1">
      <w:footerReference w:type="default" r:id="rId12"/>
      <w:pgSz w:w="11906" w:h="16838"/>
      <w:pgMar w:top="1417" w:right="991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5E52B9" w:rsidRDefault="005E52B9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5E52B9" w:rsidRDefault="005E52B9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0F95BE84" w:rsidR="005E52B9" w:rsidRPr="00EB3AE1" w:rsidRDefault="005E52B9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06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5E52B9" w:rsidRPr="0074604C" w:rsidRDefault="005E52B9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5E52B9" w:rsidRPr="00CF1C3B" w:rsidRDefault="005E52B9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5E52B9" w:rsidRDefault="005E52B9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5E52B9" w:rsidRDefault="005E52B9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94D6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1"/>
  </w:num>
  <w:num w:numId="5">
    <w:abstractNumId w:val="0"/>
  </w:num>
  <w:num w:numId="6">
    <w:abstractNumId w:val="25"/>
  </w:num>
  <w:num w:numId="7">
    <w:abstractNumId w:val="14"/>
  </w:num>
  <w:num w:numId="8">
    <w:abstractNumId w:val="27"/>
  </w:num>
  <w:num w:numId="9">
    <w:abstractNumId w:val="17"/>
  </w:num>
  <w:num w:numId="10">
    <w:abstractNumId w:val="5"/>
  </w:num>
  <w:num w:numId="11">
    <w:abstractNumId w:val="24"/>
  </w:num>
  <w:num w:numId="12">
    <w:abstractNumId w:val="15"/>
  </w:num>
  <w:num w:numId="13">
    <w:abstractNumId w:val="12"/>
  </w:num>
  <w:num w:numId="14">
    <w:abstractNumId w:val="16"/>
  </w:num>
  <w:num w:numId="15">
    <w:abstractNumId w:val="2"/>
  </w:num>
  <w:num w:numId="16">
    <w:abstractNumId w:val="8"/>
  </w:num>
  <w:num w:numId="17">
    <w:abstractNumId w:val="28"/>
  </w:num>
  <w:num w:numId="18">
    <w:abstractNumId w:val="3"/>
  </w:num>
  <w:num w:numId="19">
    <w:abstractNumId w:val="4"/>
  </w:num>
  <w:num w:numId="20">
    <w:abstractNumId w:val="20"/>
  </w:num>
  <w:num w:numId="21">
    <w:abstractNumId w:val="19"/>
  </w:num>
  <w:num w:numId="22">
    <w:abstractNumId w:val="11"/>
  </w:num>
  <w:num w:numId="23">
    <w:abstractNumId w:val="26"/>
  </w:num>
  <w:num w:numId="24">
    <w:abstractNumId w:val="9"/>
  </w:num>
  <w:num w:numId="25">
    <w:abstractNumId w:val="6"/>
  </w:num>
  <w:num w:numId="26">
    <w:abstractNumId w:val="13"/>
  </w:num>
  <w:num w:numId="27">
    <w:abstractNumId w:val="22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46AE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.uk/newsround/60218069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52B2-A8A1-8840-B842-6BC251AD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485</TotalTime>
  <Pages>2</Pages>
  <Words>513</Words>
  <Characters>2455</Characters>
  <Application>Microsoft Macintosh Word</Application>
  <DocSecurity>0</DocSecurity>
  <Lines>76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2952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151</cp:revision>
  <cp:lastPrinted>2013-09-27T09:37:00Z</cp:lastPrinted>
  <dcterms:created xsi:type="dcterms:W3CDTF">2016-10-06T15:58:00Z</dcterms:created>
  <dcterms:modified xsi:type="dcterms:W3CDTF">2022-02-04T12:23:00Z</dcterms:modified>
  <cp:category/>
</cp:coreProperties>
</file>