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45" w:rsidRPr="00157851" w:rsidRDefault="001731B5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E607D" wp14:editId="723E6288">
                <wp:simplePos x="0" y="0"/>
                <wp:positionH relativeFrom="column">
                  <wp:posOffset>3235325</wp:posOffset>
                </wp:positionH>
                <wp:positionV relativeFrom="paragraph">
                  <wp:posOffset>-1001395</wp:posOffset>
                </wp:positionV>
                <wp:extent cx="2374265" cy="495300"/>
                <wp:effectExtent l="0" t="0" r="381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1B5" w:rsidRPr="003070BF" w:rsidRDefault="006F4F28" w:rsidP="001731B5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</w:rPr>
                              <w:t>Dierentuin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4.75pt;margin-top:-78.85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" stroked="f">
                <v:textbox>
                  <w:txbxContent>
                    <w:p w:rsidR="001731B5" w:rsidRPr="003070BF" w:rsidRDefault="006F4F28" w:rsidP="001731B5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proofErr w:type="spellStart"/>
                      <w:r>
                        <w:rPr>
                          <w:sz w:val="36"/>
                        </w:rPr>
                        <w:t>Dierentuin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3118"/>
        <w:gridCol w:w="2552"/>
        <w:gridCol w:w="2551"/>
        <w:gridCol w:w="2437"/>
      </w:tblGrid>
      <w:tr w:rsidR="00885BC1" w:rsidRPr="009D36D1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64646" w:rsidRDefault="00C64646"/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721B5C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:rsidR="0015056E" w:rsidRPr="00DA01B5" w:rsidRDefault="0015056E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:rsidR="000B07BF" w:rsidRPr="003A383F" w:rsidRDefault="000B07BF" w:rsidP="000B07BF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:rsidR="000B07BF" w:rsidRPr="003A383F" w:rsidRDefault="000B07BF" w:rsidP="000B07B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  <w:r w:rsidRPr="003A383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:rsidR="000B07BF" w:rsidRDefault="000B07BF" w:rsidP="000B07B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</w:t>
            </w:r>
          </w:p>
          <w:p w:rsidR="000B07BF" w:rsidRDefault="000B07BF" w:rsidP="000B07B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hoeveelheden </w:t>
            </w:r>
          </w:p>
          <w:p w:rsidR="000B07BF" w:rsidRDefault="000B07BF" w:rsidP="000B07B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sz w:val="16"/>
                <w:szCs w:val="16"/>
                <w:lang w:val="nl-NL"/>
              </w:rPr>
              <w:t>Telt 1 of 2 erbij of eraf</w:t>
            </w:r>
            <w:r w:rsidR="00640B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3A383F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</w:p>
          <w:p w:rsidR="000B07BF" w:rsidRDefault="000B07BF" w:rsidP="000B07BF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0B07BF" w:rsidRDefault="000B07BF" w:rsidP="000B07B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:rsidR="000B07BF" w:rsidRDefault="000B07BF" w:rsidP="000B07B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</w:t>
            </w:r>
          </w:p>
          <w:p w:rsidR="000B07BF" w:rsidRPr="006A3148" w:rsidRDefault="000B07BF" w:rsidP="000B07B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Leest en maakt eenvoudige bouwtekeningen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plattegronden</w:t>
            </w:r>
          </w:p>
          <w:p w:rsidR="00A50837" w:rsidRPr="00A50837" w:rsidRDefault="00A50837" w:rsidP="00C624A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730090" w:rsidRDefault="00885BC1" w:rsidP="0073009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1(kleuterplein </w:t>
            </w:r>
            <w:proofErr w:type="spellStart"/>
            <w:r w:rsidR="00730090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E07EEF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p.36,38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:rsidR="00730090" w:rsidRPr="00DA01B5" w:rsidRDefault="00730090" w:rsidP="0073009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D42135" w:rsidRPr="001170DE" w:rsidRDefault="00D42135" w:rsidP="00D4213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:rsidR="00D42135" w:rsidRPr="00730090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 (periode</w:t>
            </w:r>
            <w:r w:rsidR="006A314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3)</w:t>
            </w:r>
          </w:p>
          <w:p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van hoeveelheden </w:t>
            </w: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Bepaalt hoeveelheden 1 t/m 10 die zijn aangeboden in cirkel of dobbelsteenstructuur 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Telt 1 of 2 erbij of eraf t/m 6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10 op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:rsidR="001170DE" w:rsidRPr="00DA01B5" w:rsidRDefault="001170DE" w:rsidP="001170DE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C64646" w:rsidRDefault="00C64646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D819D1" w:rsidRPr="00E07EEF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 xml:space="preserve">Meetkunde </w:t>
            </w:r>
          </w:p>
          <w:p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Classificeert voorwerpen in aangegeven meetkundige figuren, zoals driehoek, vierkant, rechthoek en cirkel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2)</w:t>
            </w:r>
          </w:p>
          <w:p w:rsidR="00D819D1" w:rsidRPr="00E07EEF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punt, vouwt dubbel en op vouwlijn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en maakt eenvoudige bouwtekeningen en plattegronden</w:t>
            </w:r>
          </w:p>
          <w:p w:rsidR="00C64646" w:rsidRDefault="00C64646" w:rsidP="00C6464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 xml:space="preserve">(periode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</w:t>
            </w: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1,2,3,4)</w:t>
            </w:r>
          </w:p>
          <w:p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van een object door positieverandering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:rsidR="00D819D1" w:rsidRDefault="00D819D1" w:rsidP="00D819D1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D819D1" w:rsidRPr="004612D0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Doet in de context van een  winkel aankopen </w:t>
            </w:r>
            <w:r w:rsidR="00640B6A">
              <w:rPr>
                <w:rFonts w:ascii="Verdana" w:hAnsi="Verdana"/>
                <w:sz w:val="16"/>
                <w:szCs w:val="16"/>
                <w:lang w:val="nl-NL"/>
              </w:rPr>
              <w:t xml:space="preserve">en betaalt met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met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1, 2 en 10 euro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2,4)</w:t>
            </w:r>
          </w:p>
          <w:p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 (periode 4)</w:t>
            </w:r>
          </w:p>
          <w:p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verschillen tussen analoge en digitale klok, zoals wijzers of cijfers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Past bewust herhaald af met dezelfde natuurlijke maat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1,2)</w:t>
            </w:r>
          </w:p>
          <w:p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met wiskundetaal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</w:t>
            </w:r>
            <w:r w:rsidR="00BC48C2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E07EEF" w:rsidRP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 w:rsidR="00E07EEF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:rsidR="00793F7E" w:rsidRDefault="001D72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 met dieren (p.6)</w:t>
            </w:r>
          </w:p>
          <w:p w:rsidR="000646FB" w:rsidRDefault="000646F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Nieuwe dieren (p.26)</w:t>
            </w:r>
          </w:p>
          <w:p w:rsidR="000646FB" w:rsidRDefault="000646F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Scoren (p.34)</w:t>
            </w:r>
          </w:p>
          <w:p w:rsidR="000646FB" w:rsidRDefault="000646F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tellen (p.40)</w:t>
            </w:r>
          </w:p>
          <w:p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E07EEF" w:rsidRPr="00F509A5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:rsidR="00885BC1" w:rsidRDefault="001D72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route lopen (p.19)</w:t>
            </w:r>
          </w:p>
          <w:p w:rsidR="001D72F6" w:rsidRDefault="000646F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Rekenverhaal met R</w:t>
            </w:r>
            <w:r w:rsidR="001D72F6">
              <w:rPr>
                <w:rFonts w:ascii="Verdana" w:hAnsi="Verdana"/>
                <w:sz w:val="16"/>
                <w:szCs w:val="16"/>
                <w:lang w:val="nl-NL"/>
              </w:rPr>
              <w:t>aai (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p.22)</w:t>
            </w:r>
          </w:p>
          <w:p w:rsidR="00885BC1" w:rsidRPr="000807C2" w:rsidRDefault="00885BC1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:rsidR="00E07EEF" w:rsidRPr="001E2310" w:rsidRDefault="001D72F6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sorteren</w:t>
            </w:r>
            <w:r w:rsidR="00793F7E">
              <w:rPr>
                <w:rFonts w:ascii="Verdana" w:hAnsi="Verdana"/>
                <w:sz w:val="16"/>
                <w:szCs w:val="16"/>
                <w:lang w:val="nl-NL"/>
              </w:rPr>
              <w:t xml:space="preserve"> (p.7)</w:t>
            </w:r>
          </w:p>
          <w:p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:rsidR="00793F7E" w:rsidRDefault="00793F7E" w:rsidP="00793F7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793F7E" w:rsidRPr="001E2310" w:rsidRDefault="000646FB" w:rsidP="00793F7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tellen</w:t>
            </w:r>
            <w:r w:rsidR="00793F7E">
              <w:rPr>
                <w:rFonts w:ascii="Verdana" w:hAnsi="Verdana"/>
                <w:sz w:val="16"/>
                <w:szCs w:val="16"/>
                <w:lang w:val="nl-NL"/>
              </w:rPr>
              <w:t xml:space="preserve"> (p.27)</w:t>
            </w:r>
          </w:p>
          <w:p w:rsidR="00793F7E" w:rsidRPr="001E2310" w:rsidRDefault="00793F7E" w:rsidP="00793F7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:rsidR="00793F7E" w:rsidRPr="001E2310" w:rsidRDefault="00793F7E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:rsidR="00E07EEF" w:rsidRPr="002B0EE1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:rsidR="00E07EEF" w:rsidRDefault="00793F7E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pittenzakken voel ik? (p.29)</w:t>
            </w:r>
          </w:p>
          <w:p w:rsidR="00793F7E" w:rsidRDefault="00793F7E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Bloemen tellen (p.31)</w:t>
            </w:r>
          </w:p>
          <w:p w:rsidR="00793F7E" w:rsidRDefault="00793F7E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 in de kring (p.33)</w:t>
            </w:r>
          </w:p>
          <w:p w:rsidR="00B35C02" w:rsidRDefault="00793F7E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rondedans van de konijnen (p.45)</w:t>
            </w:r>
            <w:bookmarkStart w:id="0" w:name="_GoBack"/>
            <w:bookmarkEnd w:id="0"/>
          </w:p>
          <w:p w:rsidR="00AD2EC4" w:rsidRPr="001E2310" w:rsidRDefault="00AD2EC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Score noteren (p.18)</w:t>
            </w:r>
          </w:p>
          <w:p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721B5C" w:rsidRDefault="00721B5C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721B5C" w:rsidRDefault="00721B5C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 xml:space="preserve">Zelfstandig werken </w:t>
            </w:r>
          </w:p>
          <w:p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:rsidR="000646FB" w:rsidRPr="000646FB" w:rsidRDefault="000646FB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in de weide (p.62)</w:t>
            </w:r>
          </w:p>
          <w:p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:rsidR="000646FB" w:rsidRPr="00F509A5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dier of hok bouwen (p.57)</w:t>
            </w:r>
          </w:p>
          <w:p w:rsidR="00403A10" w:rsidRDefault="000646FB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plattegrond maken (p.60</w:t>
            </w:r>
            <w:r w:rsidR="00403A10">
              <w:rPr>
                <w:rFonts w:ascii="Verdana" w:hAnsi="Verdana"/>
                <w:sz w:val="16"/>
                <w:szCs w:val="16"/>
                <w:lang w:val="nl-NL"/>
              </w:rPr>
              <w:t xml:space="preserve">) </w:t>
            </w:r>
          </w:p>
          <w:p w:rsidR="000646FB" w:rsidRDefault="000646FB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dier bouwen (p.61)</w:t>
            </w:r>
          </w:p>
          <w:p w:rsidR="000646FB" w:rsidRDefault="000646FB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Mozaïekdieren (p.63)</w:t>
            </w:r>
          </w:p>
          <w:p w:rsidR="000646FB" w:rsidRDefault="000646FB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dier op de kralenplank (p.64)</w:t>
            </w:r>
          </w:p>
          <w:p w:rsidR="000646FB" w:rsidRDefault="000646FB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Dieren vouwen (p.65) </w:t>
            </w:r>
          </w:p>
          <w:p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885BC1" w:rsidRPr="001457CC" w:rsidRDefault="00885BC1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721B5C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721B5C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:rsidR="000B07BF" w:rsidRDefault="00A50837" w:rsidP="000B07BF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:rsidR="00A50837" w:rsidRPr="000B07BF" w:rsidRDefault="000B07BF" w:rsidP="000B07BF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0B07B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:rsidR="00A50837" w:rsidRPr="00A50837" w:rsidRDefault="00A50837" w:rsidP="00C624A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:rsidR="00885BC1" w:rsidRPr="00C624A6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C624A6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C624A6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624A6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DA01B5" w:rsidRPr="00C624A6" w:rsidRDefault="00C624A6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:rsidR="000646FB" w:rsidRPr="001E2310" w:rsidRDefault="000646FB" w:rsidP="000646F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:rsidR="000646FB" w:rsidRPr="001E2310" w:rsidRDefault="000646FB" w:rsidP="000646F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:rsidR="000646FB" w:rsidRPr="001E2310" w:rsidRDefault="000646FB" w:rsidP="000646F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:rsidR="000646FB" w:rsidRPr="001E2310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sorteren (p.7)</w:t>
            </w:r>
          </w:p>
          <w:p w:rsidR="000646FB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:rsidR="000646FB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0646FB" w:rsidRPr="001E2310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tellen (p.27)</w:t>
            </w:r>
          </w:p>
          <w:p w:rsidR="000646FB" w:rsidRPr="001E2310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:rsidR="000646FB" w:rsidRPr="001E2310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0646FB" w:rsidRPr="00DA01B5" w:rsidRDefault="000646FB" w:rsidP="000646FB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0646FB" w:rsidRDefault="000646FB" w:rsidP="000646F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:rsidR="000646FB" w:rsidRPr="001E2310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:rsidR="000646FB" w:rsidRPr="001E2310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:rsidR="000646FB" w:rsidRPr="00DA01B5" w:rsidRDefault="000646FB" w:rsidP="000646FB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0646FB" w:rsidRDefault="000646FB" w:rsidP="000646F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:rsidR="000646FB" w:rsidRPr="001E2310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:rsidR="000646FB" w:rsidRPr="001E2310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:rsidR="00C624A6" w:rsidRPr="00C624A6" w:rsidRDefault="00C624A6" w:rsidP="00C624A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:rsidR="00C624A6" w:rsidRPr="00C624A6" w:rsidRDefault="00C624A6" w:rsidP="00C624A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721B5C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721B5C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:rsidR="00885BC1" w:rsidRDefault="00A50837" w:rsidP="000B07BF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Doelstelling </w:t>
            </w:r>
            <w:r w:rsidR="000B07B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periode 3</w:t>
            </w:r>
          </w:p>
          <w:p w:rsidR="000B07BF" w:rsidRPr="000B07BF" w:rsidRDefault="000B07BF" w:rsidP="000B07BF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:rsidR="00885BC1" w:rsidRPr="00C624A6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C624A6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C624A6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624A6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C624A6" w:rsidRPr="00C624A6" w:rsidRDefault="00C624A6" w:rsidP="00C624A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:rsidR="000646FB" w:rsidRPr="000646FB" w:rsidRDefault="000646FB" w:rsidP="000646F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0646FB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:rsidR="000646FB" w:rsidRPr="000646FB" w:rsidRDefault="000646FB" w:rsidP="000646F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646FB"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:rsidR="000646FB" w:rsidRPr="000646FB" w:rsidRDefault="000646FB" w:rsidP="000646F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0646FB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:rsidR="000646FB" w:rsidRPr="000646FB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646FB">
              <w:rPr>
                <w:rFonts w:ascii="Verdana" w:hAnsi="Verdana"/>
                <w:sz w:val="16"/>
                <w:szCs w:val="16"/>
                <w:lang w:val="nl-NL"/>
              </w:rPr>
              <w:t>Dieren sorteren (p.7)</w:t>
            </w:r>
          </w:p>
          <w:p w:rsidR="000646FB" w:rsidRPr="000646FB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646F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:rsidR="000646FB" w:rsidRPr="000646FB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0646FB" w:rsidRPr="000646FB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646FB">
              <w:rPr>
                <w:rFonts w:ascii="Verdana" w:hAnsi="Verdana"/>
                <w:sz w:val="16"/>
                <w:szCs w:val="16"/>
                <w:lang w:val="nl-NL"/>
              </w:rPr>
              <w:t>Hoe groot is het dier? (p.27)</w:t>
            </w:r>
          </w:p>
          <w:p w:rsidR="000646FB" w:rsidRPr="000646FB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646F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:rsidR="000646FB" w:rsidRPr="000646FB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0646FB" w:rsidRPr="000646FB" w:rsidRDefault="000646FB" w:rsidP="000646FB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0646FB" w:rsidRPr="000646FB" w:rsidRDefault="000646FB" w:rsidP="000646F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0646FB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:rsidR="000646FB" w:rsidRPr="000646FB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646FB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:rsidR="000646FB" w:rsidRPr="000646FB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646F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:rsidR="000646FB" w:rsidRPr="000646FB" w:rsidRDefault="000646FB" w:rsidP="000646FB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0646FB" w:rsidRPr="000646FB" w:rsidRDefault="000646FB" w:rsidP="000646F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0646FB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:rsidR="000646FB" w:rsidRPr="000646FB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646FB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:rsidR="000646FB" w:rsidRPr="000646FB" w:rsidRDefault="000646FB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646F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:rsidR="00403A10" w:rsidRPr="00DA01B5" w:rsidRDefault="00403A10" w:rsidP="00403A1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:rsidR="00A50837" w:rsidRPr="00F121CD" w:rsidRDefault="00A508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721B5C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721B5C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721B5C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3A" w:rsidRDefault="00E04F3A" w:rsidP="00D72F13">
      <w:r>
        <w:separator/>
      </w:r>
    </w:p>
  </w:endnote>
  <w:endnote w:type="continuationSeparator" w:id="0">
    <w:p w:rsidR="00E04F3A" w:rsidRDefault="00E04F3A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3A" w:rsidRDefault="00E04F3A" w:rsidP="00D72F13">
      <w:r>
        <w:separator/>
      </w:r>
    </w:p>
  </w:footnote>
  <w:footnote w:type="continuationSeparator" w:id="0">
    <w:p w:rsidR="00E04F3A" w:rsidRDefault="00E04F3A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D44BC1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30838"/>
    <w:rsid w:val="00037124"/>
    <w:rsid w:val="00044A9F"/>
    <w:rsid w:val="000452AD"/>
    <w:rsid w:val="00047BE8"/>
    <w:rsid w:val="00055AF6"/>
    <w:rsid w:val="00055DF3"/>
    <w:rsid w:val="000646FB"/>
    <w:rsid w:val="0006555E"/>
    <w:rsid w:val="00066009"/>
    <w:rsid w:val="000807C2"/>
    <w:rsid w:val="00092CC8"/>
    <w:rsid w:val="000A4126"/>
    <w:rsid w:val="000B07BF"/>
    <w:rsid w:val="000B1DC6"/>
    <w:rsid w:val="000B45E5"/>
    <w:rsid w:val="000B6E21"/>
    <w:rsid w:val="000F4B89"/>
    <w:rsid w:val="001170DE"/>
    <w:rsid w:val="001213A0"/>
    <w:rsid w:val="00130494"/>
    <w:rsid w:val="001457CC"/>
    <w:rsid w:val="0015056E"/>
    <w:rsid w:val="00155899"/>
    <w:rsid w:val="001601BB"/>
    <w:rsid w:val="0017053B"/>
    <w:rsid w:val="001731B5"/>
    <w:rsid w:val="00197458"/>
    <w:rsid w:val="001B330D"/>
    <w:rsid w:val="001C1F10"/>
    <w:rsid w:val="001D72F6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C0745"/>
    <w:rsid w:val="002C5589"/>
    <w:rsid w:val="002E3C54"/>
    <w:rsid w:val="002F5405"/>
    <w:rsid w:val="00327C8D"/>
    <w:rsid w:val="00336AA7"/>
    <w:rsid w:val="00337327"/>
    <w:rsid w:val="00354E61"/>
    <w:rsid w:val="003A383F"/>
    <w:rsid w:val="003B2D69"/>
    <w:rsid w:val="003C51C9"/>
    <w:rsid w:val="003F3361"/>
    <w:rsid w:val="00403A10"/>
    <w:rsid w:val="00404C08"/>
    <w:rsid w:val="00426B4F"/>
    <w:rsid w:val="004334D5"/>
    <w:rsid w:val="00434C9D"/>
    <w:rsid w:val="00440DF3"/>
    <w:rsid w:val="004612D0"/>
    <w:rsid w:val="00461C6F"/>
    <w:rsid w:val="00466985"/>
    <w:rsid w:val="00473D0C"/>
    <w:rsid w:val="00474444"/>
    <w:rsid w:val="004835E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0B6A"/>
    <w:rsid w:val="006426D2"/>
    <w:rsid w:val="00650C09"/>
    <w:rsid w:val="00650CFA"/>
    <w:rsid w:val="00667044"/>
    <w:rsid w:val="0068097A"/>
    <w:rsid w:val="00691543"/>
    <w:rsid w:val="006930EB"/>
    <w:rsid w:val="006A3148"/>
    <w:rsid w:val="006B6E75"/>
    <w:rsid w:val="006B7513"/>
    <w:rsid w:val="006C045E"/>
    <w:rsid w:val="006C2BBB"/>
    <w:rsid w:val="006D3124"/>
    <w:rsid w:val="006D476C"/>
    <w:rsid w:val="006E4C15"/>
    <w:rsid w:val="006F4F28"/>
    <w:rsid w:val="00705F22"/>
    <w:rsid w:val="00707157"/>
    <w:rsid w:val="00721B5C"/>
    <w:rsid w:val="00726839"/>
    <w:rsid w:val="00727458"/>
    <w:rsid w:val="00730090"/>
    <w:rsid w:val="00745B22"/>
    <w:rsid w:val="00786C7C"/>
    <w:rsid w:val="00793F7E"/>
    <w:rsid w:val="007B14AB"/>
    <w:rsid w:val="007B214B"/>
    <w:rsid w:val="007C6397"/>
    <w:rsid w:val="007E7C3C"/>
    <w:rsid w:val="007F2052"/>
    <w:rsid w:val="008034CA"/>
    <w:rsid w:val="0080626F"/>
    <w:rsid w:val="0081758F"/>
    <w:rsid w:val="00880019"/>
    <w:rsid w:val="008817A9"/>
    <w:rsid w:val="00885BC1"/>
    <w:rsid w:val="00886EDA"/>
    <w:rsid w:val="008D5EE0"/>
    <w:rsid w:val="008D67E5"/>
    <w:rsid w:val="00921014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50837"/>
    <w:rsid w:val="00A6750B"/>
    <w:rsid w:val="00A73877"/>
    <w:rsid w:val="00A83ECF"/>
    <w:rsid w:val="00A875E3"/>
    <w:rsid w:val="00AB06BE"/>
    <w:rsid w:val="00AB4357"/>
    <w:rsid w:val="00AB5510"/>
    <w:rsid w:val="00AD2348"/>
    <w:rsid w:val="00AD2EC4"/>
    <w:rsid w:val="00AD770B"/>
    <w:rsid w:val="00B06C5F"/>
    <w:rsid w:val="00B2307E"/>
    <w:rsid w:val="00B26864"/>
    <w:rsid w:val="00B270AB"/>
    <w:rsid w:val="00B35BAC"/>
    <w:rsid w:val="00B35C02"/>
    <w:rsid w:val="00B37FEF"/>
    <w:rsid w:val="00B50B0F"/>
    <w:rsid w:val="00B775B9"/>
    <w:rsid w:val="00B8416C"/>
    <w:rsid w:val="00B917C8"/>
    <w:rsid w:val="00B9229D"/>
    <w:rsid w:val="00BA2CA5"/>
    <w:rsid w:val="00BA6340"/>
    <w:rsid w:val="00BC3544"/>
    <w:rsid w:val="00BC48C2"/>
    <w:rsid w:val="00BF58BC"/>
    <w:rsid w:val="00C079A4"/>
    <w:rsid w:val="00C20BE0"/>
    <w:rsid w:val="00C36AC7"/>
    <w:rsid w:val="00C60555"/>
    <w:rsid w:val="00C608EE"/>
    <w:rsid w:val="00C624A6"/>
    <w:rsid w:val="00C627E4"/>
    <w:rsid w:val="00C64646"/>
    <w:rsid w:val="00C65CEB"/>
    <w:rsid w:val="00C8120F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42135"/>
    <w:rsid w:val="00D44BC1"/>
    <w:rsid w:val="00D72F13"/>
    <w:rsid w:val="00D819D1"/>
    <w:rsid w:val="00D877D8"/>
    <w:rsid w:val="00DA01B5"/>
    <w:rsid w:val="00DC3D21"/>
    <w:rsid w:val="00DC62FD"/>
    <w:rsid w:val="00DD1FDA"/>
    <w:rsid w:val="00E04F3A"/>
    <w:rsid w:val="00E07EEF"/>
    <w:rsid w:val="00E444F9"/>
    <w:rsid w:val="00E51194"/>
    <w:rsid w:val="00E74665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C3561A-4A41-46D2-B51E-485BC927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1288</Words>
  <Characters>7090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Angelique Mathon</cp:lastModifiedBy>
  <cp:revision>2</cp:revision>
  <cp:lastPrinted>2015-05-27T11:57:00Z</cp:lastPrinted>
  <dcterms:created xsi:type="dcterms:W3CDTF">2017-04-18T13:34:00Z</dcterms:created>
  <dcterms:modified xsi:type="dcterms:W3CDTF">2017-04-18T13:34:00Z</dcterms:modified>
</cp:coreProperties>
</file>