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1751E8B9" w:rsidR="00834CEB" w:rsidRPr="00834CEB" w:rsidRDefault="00E21B4D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>Post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1751E8B9" w:rsidR="00834CEB" w:rsidRPr="00834CEB" w:rsidRDefault="00E21B4D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</w:rPr>
                        <w:t>Post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(kleuterplein </w:t>
            </w:r>
            <w:proofErr w:type="spellStart"/>
            <w:r w:rsidR="00E6416A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proofErr w:type="spellStart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</w:t>
            </w:r>
            <w:proofErr w:type="spellEnd"/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308CB03E" w14:textId="19ED430B" w:rsidR="004915BB" w:rsidRDefault="00E21B4D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 xml:space="preserve">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16</w:t>
            </w:r>
            <w:r w:rsidR="00D82300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346FFAE0" w14:textId="131D8809" w:rsidR="002B0EE1" w:rsidRDefault="00221F12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</w:t>
            </w:r>
            <w:r w:rsidR="00E21B4D">
              <w:rPr>
                <w:rFonts w:ascii="Verdana" w:hAnsi="Verdana"/>
                <w:sz w:val="16"/>
                <w:szCs w:val="16"/>
                <w:lang w:val="nl-NL"/>
              </w:rPr>
              <w:t>orte namen, lange namen (p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</w:t>
            </w:r>
            <w:r w:rsidR="00E21B4D">
              <w:rPr>
                <w:rFonts w:ascii="Verdana" w:hAnsi="Verdana"/>
                <w:sz w:val="16"/>
                <w:szCs w:val="16"/>
                <w:lang w:val="nl-NL"/>
              </w:rPr>
              <w:t>4</w:t>
            </w:r>
            <w:r w:rsidR="004915B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684ECF6B" w14:textId="77777777" w:rsidR="00E1028F" w:rsidRPr="003957A5" w:rsidRDefault="00E1028F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E147A25" w14:textId="1436C422" w:rsidR="009D538B" w:rsidRPr="003957A5" w:rsidRDefault="009D538B" w:rsidP="00E1028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153A6A50" w14:textId="0509DE10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D0D3921" w14:textId="77777777" w:rsidR="009D538B" w:rsidRPr="003957A5" w:rsidRDefault="009D538B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27824EC" w14:textId="398459AF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4933773A" w14:textId="78B4D544" w:rsidR="009D538B" w:rsidRPr="00E21B4D" w:rsidRDefault="00E21B4D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 w:rsidR="00221F12">
              <w:rPr>
                <w:rFonts w:ascii="Verdana" w:hAnsi="Verdana"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tafel van K (p.35)</w:t>
            </w:r>
          </w:p>
          <w:p w14:paraId="0A153B32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020063F3" w14:textId="6B8CA608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671D844" w14:textId="705BE8AD" w:rsidR="009D538B" w:rsidRDefault="009D538B" w:rsidP="00E1028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237AADF3" w14:textId="77777777" w:rsidR="002B0EE1" w:rsidRPr="003957A5" w:rsidRDefault="002B0EE1" w:rsidP="00E1028F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E017151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908D5E5" w14:textId="7424E734" w:rsidR="003957A5" w:rsidRPr="003957A5" w:rsidRDefault="00E21B4D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K (p.35)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957A5"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794349B" w14:textId="77777777" w:rsidR="003957A5" w:rsidRPr="003957A5" w:rsidRDefault="003957A5" w:rsidP="003957A5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6BB309FA" w:rsidR="009D538B" w:rsidRPr="000807C2" w:rsidRDefault="009D538B" w:rsidP="003957A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Spelen met letters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1902436A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65A70BD1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46F1F3A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60DC5E4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</w:p>
          <w:p w14:paraId="696DA327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Korte namen, lange namen (p.34)</w:t>
            </w:r>
          </w:p>
          <w:p w14:paraId="2E18FB84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F75C375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3D82470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5FABABA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EDA2378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18FB1C0" w14:textId="77777777" w:rsidR="00E21B4D" w:rsidRP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K (p.35)</w:t>
            </w:r>
          </w:p>
          <w:p w14:paraId="50A2CFAA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105A073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1FE920A4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D95E448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A637A8C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2560FEEA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K (p.35)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5201760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0B2D727A" w:rsidR="002C0745" w:rsidRPr="009E0FB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34FE74CB" w14:textId="77777777" w:rsidR="003957A5" w:rsidRPr="001457CC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2DDB38" w14:textId="28ACE189" w:rsidR="002C0745" w:rsidRPr="00F121CD" w:rsidRDefault="002C0745" w:rsidP="00221F1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A5F4D3C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5522A94C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</w:p>
          <w:p w14:paraId="2DC5B2C9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Korte namen, lange namen (p.34)</w:t>
            </w:r>
          </w:p>
          <w:p w14:paraId="14688B42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9B32C56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9B88C0D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7E19A06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24DEC713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187F727" w14:textId="77777777" w:rsidR="00E21B4D" w:rsidRP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Kijk eens wat een mooie kaart  (p.16)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De tafel van K (p.35)</w:t>
            </w:r>
          </w:p>
          <w:p w14:paraId="28213F14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E7DA6AD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55700E77" w14:textId="77777777" w:rsidR="00E21B4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6E7E058" w14:textId="77777777" w:rsidR="00E21B4D" w:rsidRPr="003957A5" w:rsidRDefault="00E21B4D" w:rsidP="00E21B4D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48966623" w14:textId="77777777" w:rsidR="00E21B4D" w:rsidRDefault="00E21B4D" w:rsidP="00E21B4D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CD92235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K (p.35)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41022EC2" w14:textId="77777777" w:rsidR="00E21B4D" w:rsidRPr="003957A5" w:rsidRDefault="00E21B4D" w:rsidP="00E21B4D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0BC8AAB6" w:rsidR="002C0745" w:rsidRPr="009E0FBD" w:rsidRDefault="00E21B4D" w:rsidP="00E21B4D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C84EE6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47E48FA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A71FC" w14:textId="77777777" w:rsidR="00347638" w:rsidRDefault="00347638" w:rsidP="00D72F13">
      <w:r>
        <w:separator/>
      </w:r>
    </w:p>
  </w:endnote>
  <w:endnote w:type="continuationSeparator" w:id="0">
    <w:p w14:paraId="422F4A92" w14:textId="77777777" w:rsidR="00347638" w:rsidRDefault="00347638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B797D" w14:textId="77777777" w:rsidR="00347638" w:rsidRDefault="00347638" w:rsidP="00D72F13">
      <w:r>
        <w:separator/>
      </w:r>
    </w:p>
  </w:footnote>
  <w:footnote w:type="continuationSeparator" w:id="0">
    <w:p w14:paraId="64E00627" w14:textId="77777777" w:rsidR="00347638" w:rsidRDefault="00347638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4A2092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A09FA"/>
    <w:rsid w:val="002A2952"/>
    <w:rsid w:val="002B0EE1"/>
    <w:rsid w:val="002C0745"/>
    <w:rsid w:val="002C5589"/>
    <w:rsid w:val="002E3C54"/>
    <w:rsid w:val="002F5405"/>
    <w:rsid w:val="00336AA7"/>
    <w:rsid w:val="00337327"/>
    <w:rsid w:val="00347638"/>
    <w:rsid w:val="00354E61"/>
    <w:rsid w:val="003957A5"/>
    <w:rsid w:val="003B2D69"/>
    <w:rsid w:val="003C51C9"/>
    <w:rsid w:val="003F3361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5DC4"/>
    <w:rsid w:val="00927C9B"/>
    <w:rsid w:val="0094585F"/>
    <w:rsid w:val="009621AA"/>
    <w:rsid w:val="009630DB"/>
    <w:rsid w:val="009716A0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775B9"/>
    <w:rsid w:val="00B8416C"/>
    <w:rsid w:val="00B917C8"/>
    <w:rsid w:val="00B9229D"/>
    <w:rsid w:val="00BA2CA5"/>
    <w:rsid w:val="00BC3544"/>
    <w:rsid w:val="00BF58BC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43E95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511DAC-1167-4AE7-86CC-FC3AEA35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1081</Words>
  <Characters>5947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3</cp:revision>
  <cp:lastPrinted>2013-06-17T08:12:00Z</cp:lastPrinted>
  <dcterms:created xsi:type="dcterms:W3CDTF">2013-06-24T11:53:00Z</dcterms:created>
  <dcterms:modified xsi:type="dcterms:W3CDTF">2013-06-24T11:54:00Z</dcterms:modified>
</cp:coreProperties>
</file>