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58.1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 uitrekenen met de </w:t>
                        </w:r>
                        <w:r>
                          <w:rPr>
                            <w:color w:val="231F20"/>
                            <w:sz w:val="18"/>
                          </w:rPr>
                          <w:t>variastrategie: aanvullen.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optel- en aftreksommen t/m 100 uitrekenen met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strategie: rijgen.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66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aanvullen?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24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strategie: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0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welke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left="212" w:right="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sommen het handig is om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deze strategie te gebruiken?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10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rekenen met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 variastrategie: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aanvullen?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 het kind bij welke sommen het handig is om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37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45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27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op de lege getallenlijn in maximaal 3 sprongen (eerst de tientallen in 1 sprong en dan de eenheden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sprongen)?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78" w:right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37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45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27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op de lege getallenlijn in maximaal 3 sprongen (eerst de tientallen in 1 sprong en dan de eenheden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sprongen)?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49pt;width:454.55pt;height:210.8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3"/>
                    <w:gridCol w:w="226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telrij t/m 1000.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werken met eenvoudige staafdiagrammen.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tellen met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 van 1, 10 en 100?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 t/m 1000 ordenen?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 staafdiagram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 staafdiagram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22.1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bij een getekend blokkenbouwsel de juiste gedraaide </w:t>
                        </w:r>
                        <w:r>
                          <w:rPr>
                            <w:color w:val="231F20"/>
                            <w:sz w:val="18"/>
                          </w:rPr>
                          <w:t>plattegrond vinden.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 w:right="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gedraaide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plattegrond bij een getekend blokkenbouwsel vinden met </w:t>
                        </w:r>
                        <w:r>
                          <w:rPr>
                            <w:color w:val="231F20"/>
                            <w:sz w:val="18"/>
                          </w:rPr>
                          <w:t>behulp van materiaal?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plattegrond bij een getekend blokkenbouwsel vinden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zonder de hulp van materiaal?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377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3984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3881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4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589876_WIG5_4_09_PB_Blokobservatie.indd</dc:title>
  <dcterms:created xsi:type="dcterms:W3CDTF">2020-05-20T07:51:39Z</dcterms:created>
  <dcterms:modified xsi:type="dcterms:W3CDTF">2020-05-20T07:51:39Z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