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524240">
        <w:rPr>
          <w:rFonts w:ascii="Arial" w:hAnsi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13,14,15,16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5043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39"/>
        <w:gridCol w:w="4873"/>
        <w:gridCol w:w="2309"/>
        <w:gridCol w:w="2579"/>
        <w:gridCol w:w="1434"/>
        <w:gridCol w:w="2494"/>
      </w:tblGrid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154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73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82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45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79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9C242F">
        <w:trPr>
          <w:trHeight w:hRule="exact" w:val="57"/>
          <w:tblHeader/>
        </w:trPr>
        <w:tc>
          <w:tcPr>
            <w:tcW w:w="648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A8A162" wp14:editId="7B442336">
                  <wp:extent cx="171450" cy="183968"/>
                  <wp:effectExtent l="0" t="0" r="0" b="698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 w:rsidR="00871C2E">
              <w:rPr>
                <w:rFonts w:ascii="Verdana" w:hAnsi="Verdana"/>
                <w:sz w:val="16"/>
                <w:szCs w:val="16"/>
              </w:rPr>
              <w:t xml:space="preserve"> kinderen scoren voldoende  op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BD6E24">
              <w:rPr>
                <w:rFonts w:ascii="Verdana" w:hAnsi="Verdana"/>
                <w:sz w:val="16"/>
                <w:szCs w:val="16"/>
              </w:rPr>
              <w:t>6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BD6E24">
              <w:rPr>
                <w:rFonts w:ascii="Verdana" w:hAnsi="Verdana"/>
                <w:sz w:val="16"/>
                <w:szCs w:val="16"/>
              </w:rPr>
              <w:t>6</w:t>
            </w:r>
          </w:p>
          <w:p w:rsidR="00BF2A66" w:rsidRDefault="00BF2A66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 xml:space="preserve">woorden eindigend op -air </w:t>
            </w:r>
          </w:p>
          <w:p w:rsidR="00BD6E24" w:rsidRP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>vloeiend lezen: tekst lezen met dynamisch accent (hard/zacht, langzaam/vlug)</w:t>
            </w:r>
          </w:p>
          <w:p w:rsid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BD6E24">
              <w:rPr>
                <w:rFonts w:ascii="Verdana" w:hAnsi="Verdana"/>
                <w:sz w:val="16"/>
                <w:szCs w:val="16"/>
              </w:rPr>
              <w:t>heid</w:t>
            </w:r>
            <w:proofErr w:type="spellEnd"/>
            <w:r w:rsidRPr="00BD6E24">
              <w:rPr>
                <w:rFonts w:ascii="Verdana" w:hAnsi="Verdana"/>
                <w:sz w:val="16"/>
                <w:szCs w:val="16"/>
              </w:rPr>
              <w:t xml:space="preserve"> en -</w:t>
            </w:r>
            <w:proofErr w:type="spellStart"/>
            <w:r w:rsidRPr="00BD6E24">
              <w:rPr>
                <w:rFonts w:ascii="Verdana" w:hAnsi="Verdana"/>
                <w:sz w:val="16"/>
                <w:szCs w:val="16"/>
              </w:rPr>
              <w:t>teit</w:t>
            </w:r>
            <w:proofErr w:type="spellEnd"/>
            <w:r w:rsidRPr="00BD6E2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6E24" w:rsidRP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>afkortingen en symbolen</w:t>
            </w:r>
          </w:p>
          <w:p w:rsidR="00BD6E24" w:rsidRP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>vloeiend lezen: met inachtneming van leestekens en de directe rede</w:t>
            </w:r>
          </w:p>
          <w:p w:rsidR="00BD6E24" w:rsidRPr="00BD6E24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>woorden met -eau- uitgesproken als /</w:t>
            </w:r>
            <w:proofErr w:type="spellStart"/>
            <w:r w:rsidRPr="00BD6E24">
              <w:rPr>
                <w:rFonts w:ascii="Verdana" w:hAnsi="Verdana"/>
                <w:sz w:val="16"/>
                <w:szCs w:val="16"/>
              </w:rPr>
              <w:t>oo</w:t>
            </w:r>
            <w:proofErr w:type="spellEnd"/>
            <w:r w:rsidRPr="00BD6E24">
              <w:rPr>
                <w:rFonts w:ascii="Verdana" w:hAnsi="Verdana"/>
                <w:sz w:val="16"/>
                <w:szCs w:val="16"/>
              </w:rPr>
              <w:t>/ en -</w:t>
            </w:r>
            <w:proofErr w:type="spellStart"/>
            <w:r w:rsidRPr="00BD6E24">
              <w:rPr>
                <w:rFonts w:ascii="Verdana" w:hAnsi="Verdana"/>
                <w:sz w:val="16"/>
                <w:szCs w:val="16"/>
              </w:rPr>
              <w:t>ou</w:t>
            </w:r>
            <w:proofErr w:type="spellEnd"/>
            <w:r w:rsidRPr="00BD6E24">
              <w:rPr>
                <w:rFonts w:ascii="Verdana" w:hAnsi="Verdana"/>
                <w:sz w:val="16"/>
                <w:szCs w:val="16"/>
              </w:rPr>
              <w:t xml:space="preserve">- als /oe/ </w:t>
            </w:r>
          </w:p>
          <w:p w:rsidR="000C5692" w:rsidRPr="00A721C2" w:rsidRDefault="00BD6E24" w:rsidP="00BD6E24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D6E24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007BD11" wp14:editId="43ECDE9C">
                  <wp:extent cx="171450" cy="183968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24F1AB" wp14:editId="31582349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D4E6C3B" wp14:editId="649ADC90">
                  <wp:extent cx="171450" cy="183968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40C64F1" wp14:editId="0A894938">
                  <wp:extent cx="163720" cy="170130"/>
                  <wp:effectExtent l="0" t="0" r="8255" b="190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2" cy="17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Aanpak binnen dit model voor de</w:t>
            </w:r>
            <w:r w:rsidR="009C24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FCAB0C0" wp14:editId="2DEB9390">
                  <wp:extent cx="171450" cy="183968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54478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71C2E" w:rsidRPr="0017053B" w:rsidRDefault="00871C2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0FFD71A" wp14:editId="21EBE4ED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</w:tcPr>
          <w:p w:rsidR="0053192D" w:rsidRDefault="008F341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kinderen scoren voldoende  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8F341C" w:rsidRPr="0053192D" w:rsidRDefault="008F341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B94DDD">
              <w:rPr>
                <w:rFonts w:ascii="Verdana" w:hAnsi="Verdana"/>
                <w:sz w:val="16"/>
                <w:szCs w:val="16"/>
              </w:rPr>
              <w:t>6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B94DDD">
              <w:rPr>
                <w:rFonts w:ascii="Verdana" w:hAnsi="Verdana"/>
                <w:sz w:val="16"/>
                <w:szCs w:val="16"/>
              </w:rPr>
              <w:t>6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BA21E6" wp14:editId="0CB3718A">
                  <wp:extent cx="171450" cy="183968"/>
                  <wp:effectExtent l="0" t="0" r="0" b="698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pct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B176DB5" wp14:editId="2CD8A9E6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EFA9AAC" wp14:editId="3F0C8237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9C242F" w:rsidRPr="00700A32" w:rsidRDefault="009C242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456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54478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8F341C" w:rsidRPr="0095699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8F341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8F341C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8F341C" w:rsidRPr="00E015A1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Sterke lezers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216DAD1" wp14:editId="31D54D8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CC362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CC3623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CC3623">
              <w:rPr>
                <w:rFonts w:ascii="Verdana" w:hAnsi="Verdana"/>
                <w:sz w:val="16"/>
                <w:szCs w:val="16"/>
              </w:rPr>
              <w:t>6</w:t>
            </w:r>
          </w:p>
          <w:p w:rsidR="00BF2A66" w:rsidRPr="00E015A1" w:rsidRDefault="00BF2A66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B35F0" wp14:editId="4C211D7D">
                  <wp:extent cx="171450" cy="183968"/>
                  <wp:effectExtent l="0" t="0" r="0" b="698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D75346E" wp14:editId="046928A5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820" w:type="pct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148FCC2" wp14:editId="78158EDE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54478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8F341C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F341C" w:rsidRPr="0017053B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4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7F" w:rsidRDefault="009F797F" w:rsidP="00D72F13">
      <w:r>
        <w:separator/>
      </w:r>
    </w:p>
  </w:endnote>
  <w:endnote w:type="continuationSeparator" w:id="0">
    <w:p w:rsidR="009F797F" w:rsidRDefault="009F797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7F" w:rsidRDefault="009F797F" w:rsidP="00D72F13">
      <w:r>
        <w:separator/>
      </w:r>
    </w:p>
  </w:footnote>
  <w:footnote w:type="continuationSeparator" w:id="0">
    <w:p w:rsidR="009F797F" w:rsidRDefault="009F797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B7BE6"/>
    <w:multiLevelType w:val="hybridMultilevel"/>
    <w:tmpl w:val="ECCE3B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32A6D"/>
    <w:rsid w:val="002407FC"/>
    <w:rsid w:val="00245FBC"/>
    <w:rsid w:val="00282253"/>
    <w:rsid w:val="002A2952"/>
    <w:rsid w:val="002B295E"/>
    <w:rsid w:val="002B408E"/>
    <w:rsid w:val="002B761A"/>
    <w:rsid w:val="002C5589"/>
    <w:rsid w:val="00310A63"/>
    <w:rsid w:val="00336AA7"/>
    <w:rsid w:val="00354E61"/>
    <w:rsid w:val="003B2D69"/>
    <w:rsid w:val="003C1D3E"/>
    <w:rsid w:val="003F49D4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4240"/>
    <w:rsid w:val="00526BDB"/>
    <w:rsid w:val="0053192D"/>
    <w:rsid w:val="0054085E"/>
    <w:rsid w:val="0054478B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350F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33973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933"/>
    <w:rsid w:val="00871C2E"/>
    <w:rsid w:val="00872EFC"/>
    <w:rsid w:val="00880019"/>
    <w:rsid w:val="008876A6"/>
    <w:rsid w:val="008B3D4E"/>
    <w:rsid w:val="008E1CE8"/>
    <w:rsid w:val="008E5564"/>
    <w:rsid w:val="008F133A"/>
    <w:rsid w:val="008F341C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42F"/>
    <w:rsid w:val="009C2A74"/>
    <w:rsid w:val="009E1CAD"/>
    <w:rsid w:val="009F01D3"/>
    <w:rsid w:val="009F797F"/>
    <w:rsid w:val="00A26BA8"/>
    <w:rsid w:val="00A721C2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37169"/>
    <w:rsid w:val="00B775B9"/>
    <w:rsid w:val="00B8416C"/>
    <w:rsid w:val="00B94DDD"/>
    <w:rsid w:val="00BC1B43"/>
    <w:rsid w:val="00BC3544"/>
    <w:rsid w:val="00BD6E24"/>
    <w:rsid w:val="00BF2A66"/>
    <w:rsid w:val="00C02645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C3623"/>
    <w:rsid w:val="00CD6451"/>
    <w:rsid w:val="00CE571A"/>
    <w:rsid w:val="00CF4515"/>
    <w:rsid w:val="00D12036"/>
    <w:rsid w:val="00D201EB"/>
    <w:rsid w:val="00D72F13"/>
    <w:rsid w:val="00D877D8"/>
    <w:rsid w:val="00DC3D21"/>
    <w:rsid w:val="00E015A1"/>
    <w:rsid w:val="00E03125"/>
    <w:rsid w:val="00E444F9"/>
    <w:rsid w:val="00E83006"/>
    <w:rsid w:val="00E95E7D"/>
    <w:rsid w:val="00EA1EAF"/>
    <w:rsid w:val="00EC36AA"/>
    <w:rsid w:val="00ED0E0C"/>
    <w:rsid w:val="00ED78C7"/>
    <w:rsid w:val="00EE5770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951FB-9BFE-49E4-BBA7-0F04AD32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6</cp:revision>
  <cp:lastPrinted>2014-07-28T11:02:00Z</cp:lastPrinted>
  <dcterms:created xsi:type="dcterms:W3CDTF">2015-03-19T07:41:00Z</dcterms:created>
  <dcterms:modified xsi:type="dcterms:W3CDTF">2015-03-20T08:27:00Z</dcterms:modified>
</cp:coreProperties>
</file>