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3542FB">
        <w:rPr>
          <w:rFonts w:ascii="Arial" w:hAnsi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</w:r>
      <w:r w:rsidR="00804A7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</w:r>
      <w:r w:rsidR="00804A79">
        <w:rPr>
          <w:rFonts w:ascii="Arial" w:hAnsi="Arial" w:cs="Arial"/>
          <w:sz w:val="16"/>
          <w:szCs w:val="16"/>
        </w:rPr>
        <w:t>9,10,11,12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88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268"/>
        <w:gridCol w:w="4103"/>
        <w:gridCol w:w="2410"/>
        <w:gridCol w:w="2693"/>
        <w:gridCol w:w="1798"/>
        <w:gridCol w:w="2608"/>
      </w:tblGrid>
      <w:tr w:rsidR="00CD6451" w:rsidRPr="0017053B" w:rsidTr="007B2451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7B2451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410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7B2451">
        <w:trPr>
          <w:trHeight w:hRule="exact" w:val="57"/>
          <w:tblHeader/>
        </w:trPr>
        <w:tc>
          <w:tcPr>
            <w:tcW w:w="226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04B20CE" wp14:editId="4D363BE7">
                  <wp:extent cx="180975" cy="19419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ED7693">
              <w:rPr>
                <w:rFonts w:ascii="Verdana" w:hAnsi="Verdana"/>
                <w:sz w:val="16"/>
                <w:szCs w:val="16"/>
              </w:rPr>
              <w:t>op de methodetoetsen van blok 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3542FB">
              <w:rPr>
                <w:rFonts w:ascii="Verdana" w:hAnsi="Verdana"/>
                <w:sz w:val="16"/>
                <w:szCs w:val="16"/>
              </w:rPr>
              <w:t>5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>woorden eindigend op -ge, uitgesproken als /</w:t>
            </w:r>
            <w:proofErr w:type="spellStart"/>
            <w:r w:rsidRPr="003542FB">
              <w:rPr>
                <w:rFonts w:ascii="Verdana" w:hAnsi="Verdana"/>
                <w:sz w:val="16"/>
                <w:szCs w:val="16"/>
              </w:rPr>
              <w:t>zj</w:t>
            </w:r>
            <w:proofErr w:type="spellEnd"/>
            <w:r w:rsidRPr="003542FB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>meerl</w:t>
            </w:r>
            <w:r>
              <w:rPr>
                <w:rFonts w:ascii="Verdana" w:hAnsi="Verdana"/>
                <w:sz w:val="16"/>
                <w:szCs w:val="16"/>
              </w:rPr>
              <w:t>ettergrepige woorden met –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isch</w:t>
            </w:r>
            <w:proofErr w:type="spellEnd"/>
          </w:p>
          <w:p w:rsid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>woorden eindigend op -eau uitgesproken als /</w:t>
            </w:r>
            <w:proofErr w:type="spellStart"/>
            <w:r w:rsidRPr="003542FB">
              <w:rPr>
                <w:rFonts w:ascii="Verdana" w:hAnsi="Verdana"/>
                <w:sz w:val="16"/>
                <w:szCs w:val="16"/>
              </w:rPr>
              <w:t>oo</w:t>
            </w:r>
            <w:proofErr w:type="spellEnd"/>
            <w:r w:rsidRPr="003542FB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 xml:space="preserve">woorden met </w:t>
            </w:r>
            <w:proofErr w:type="spellStart"/>
            <w:r w:rsidRPr="003542FB">
              <w:rPr>
                <w:rFonts w:ascii="Verdana" w:hAnsi="Verdana"/>
                <w:sz w:val="16"/>
                <w:szCs w:val="16"/>
              </w:rPr>
              <w:t>ch</w:t>
            </w:r>
            <w:proofErr w:type="spellEnd"/>
            <w:r w:rsidRPr="003542FB">
              <w:rPr>
                <w:rFonts w:ascii="Verdana" w:hAnsi="Verdana"/>
                <w:sz w:val="16"/>
                <w:szCs w:val="16"/>
              </w:rPr>
              <w:t>- uitgesproken als /</w:t>
            </w:r>
            <w:proofErr w:type="spellStart"/>
            <w:r w:rsidRPr="003542FB">
              <w:rPr>
                <w:rFonts w:ascii="Verdana" w:hAnsi="Verdana"/>
                <w:sz w:val="16"/>
                <w:szCs w:val="16"/>
              </w:rPr>
              <w:t>sj</w:t>
            </w:r>
            <w:proofErr w:type="spellEnd"/>
            <w:r w:rsidRPr="003542FB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3542FB" w:rsidRP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542FB">
              <w:rPr>
                <w:rFonts w:ascii="Verdana" w:hAnsi="Verdana"/>
                <w:sz w:val="16"/>
                <w:szCs w:val="16"/>
              </w:rPr>
              <w:t>vijflettergrepige</w:t>
            </w:r>
            <w:proofErr w:type="spellEnd"/>
            <w:r w:rsidRPr="003542FB">
              <w:rPr>
                <w:rFonts w:ascii="Verdana" w:hAnsi="Verdana"/>
                <w:sz w:val="16"/>
                <w:szCs w:val="16"/>
              </w:rPr>
              <w:t xml:space="preserve"> woorden </w:t>
            </w:r>
          </w:p>
          <w:p w:rsid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 xml:space="preserve">woorden met -c- uitgesproken als /k/ of /s/ woorden met een koppelteken </w:t>
            </w:r>
          </w:p>
          <w:p w:rsid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 xml:space="preserve">aardrijkskundige namen </w:t>
            </w:r>
          </w:p>
          <w:p w:rsid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 xml:space="preserve">samengestelde woorden met problemen uit vorige categorieën </w:t>
            </w:r>
          </w:p>
          <w:p w:rsid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>(samengestelde) woorden lezen met -ge- die je uitspreekt als /</w:t>
            </w:r>
            <w:proofErr w:type="spellStart"/>
            <w:r w:rsidRPr="003542FB">
              <w:rPr>
                <w:rFonts w:ascii="Verdana" w:hAnsi="Verdana"/>
                <w:sz w:val="16"/>
                <w:szCs w:val="16"/>
              </w:rPr>
              <w:t>zj</w:t>
            </w:r>
            <w:proofErr w:type="spellEnd"/>
            <w:r w:rsidRPr="003542FB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3542FB" w:rsidRPr="003542FB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>woorden met -y- uit</w:t>
            </w:r>
            <w:r>
              <w:rPr>
                <w:rFonts w:ascii="Verdana" w:hAnsi="Verdana"/>
                <w:sz w:val="16"/>
                <w:szCs w:val="16"/>
              </w:rPr>
              <w:t>gesproken als /j/, /ie/ of /i/</w:t>
            </w:r>
          </w:p>
          <w:p w:rsidR="000C5692" w:rsidRDefault="003542FB" w:rsidP="003542FB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3542FB">
              <w:rPr>
                <w:rFonts w:ascii="Verdana" w:hAnsi="Verdana"/>
                <w:sz w:val="16"/>
                <w:szCs w:val="16"/>
              </w:rPr>
              <w:t xml:space="preserve">woorden met </w:t>
            </w:r>
            <w:proofErr w:type="spellStart"/>
            <w:r w:rsidRPr="003542FB">
              <w:rPr>
                <w:rFonts w:ascii="Verdana" w:hAnsi="Verdana"/>
                <w:sz w:val="16"/>
                <w:szCs w:val="16"/>
              </w:rPr>
              <w:t>ch</w:t>
            </w:r>
            <w:proofErr w:type="spellEnd"/>
            <w:r w:rsidRPr="003542FB">
              <w:rPr>
                <w:rFonts w:ascii="Verdana" w:hAnsi="Verdana"/>
                <w:sz w:val="16"/>
                <w:szCs w:val="16"/>
              </w:rPr>
              <w:t>- uitgesproken als /</w:t>
            </w:r>
            <w:proofErr w:type="spellStart"/>
            <w:r w:rsidRPr="003542FB">
              <w:rPr>
                <w:rFonts w:ascii="Verdana" w:hAnsi="Verdana"/>
                <w:sz w:val="16"/>
                <w:szCs w:val="16"/>
              </w:rPr>
              <w:t>sj</w:t>
            </w:r>
            <w:proofErr w:type="spellEnd"/>
            <w:r w:rsidRPr="003542FB">
              <w:rPr>
                <w:rFonts w:ascii="Verdana" w:hAnsi="Verdana"/>
                <w:sz w:val="16"/>
                <w:szCs w:val="16"/>
              </w:rPr>
              <w:t xml:space="preserve">/ </w:t>
            </w:r>
          </w:p>
          <w:p w:rsidR="00361C89" w:rsidRPr="00804A79" w:rsidRDefault="00361C89" w:rsidP="00361C89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7F24E3B" wp14:editId="35AFF5E4">
                  <wp:extent cx="180975" cy="19419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9B46BC7" wp14:editId="39976DD6">
                  <wp:extent cx="170089" cy="190500"/>
                  <wp:effectExtent l="0" t="0" r="1905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08792E" wp14:editId="651DB9C4">
                  <wp:extent cx="180975" cy="19419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2DD5018" wp14:editId="0F5693F2">
                  <wp:extent cx="154553" cy="160605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" cy="16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737C028" wp14:editId="10D39B25">
                  <wp:extent cx="180975" cy="19419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toetsen van blok 3 af.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9D355AB" wp14:editId="0B8A2970">
                  <wp:extent cx="170089" cy="190500"/>
                  <wp:effectExtent l="0" t="0" r="190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3" w:type="dxa"/>
          </w:tcPr>
          <w:p w:rsidR="0053192D" w:rsidRDefault="00ED769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>op de methodetoetsen van blok 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ED7693" w:rsidRPr="0053192D" w:rsidRDefault="00ED769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361C89">
              <w:rPr>
                <w:rFonts w:ascii="Verdana" w:hAnsi="Verdana"/>
                <w:sz w:val="16"/>
                <w:szCs w:val="16"/>
              </w:rPr>
              <w:t>5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9FE58B" wp14:editId="0435C2DE">
                  <wp:extent cx="180975" cy="19419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9A2095" wp14:editId="34E0FA07">
                  <wp:extent cx="170089" cy="190500"/>
                  <wp:effectExtent l="0" t="0" r="190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308EE4C" wp14:editId="08AA7D34">
                  <wp:extent cx="170089" cy="190500"/>
                  <wp:effectExtent l="0" t="0" r="190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ED7693" w:rsidRPr="0095699C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3 af.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D7693" w:rsidRPr="00E015A1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F782562" wp14:editId="5F3EF4E5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van blok 3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361C89">
              <w:rPr>
                <w:rFonts w:ascii="Verdana" w:hAnsi="Verdana"/>
                <w:sz w:val="16"/>
                <w:szCs w:val="16"/>
              </w:rPr>
              <w:t>32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223E26" wp14:editId="08B7073B">
                  <wp:extent cx="180975" cy="19419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39A1A22" wp14:editId="79E98156">
                  <wp:extent cx="152400" cy="1524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9B57E20" wp14:editId="22B47E33">
                  <wp:extent cx="152400" cy="152400"/>
                  <wp:effectExtent l="0" t="0" r="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4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Bij deze kinderen neemt u de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van blok 3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4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EA" w:rsidRDefault="00901BEA" w:rsidP="00D72F13">
      <w:r>
        <w:separator/>
      </w:r>
    </w:p>
  </w:endnote>
  <w:endnote w:type="continuationSeparator" w:id="0">
    <w:p w:rsidR="00901BEA" w:rsidRDefault="00901BE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EA" w:rsidRDefault="00901BEA" w:rsidP="00D72F13">
      <w:r>
        <w:separator/>
      </w:r>
    </w:p>
  </w:footnote>
  <w:footnote w:type="continuationSeparator" w:id="0">
    <w:p w:rsidR="00901BEA" w:rsidRDefault="00901BE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0619FE"/>
    <w:multiLevelType w:val="hybridMultilevel"/>
    <w:tmpl w:val="A61895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0DDC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82253"/>
    <w:rsid w:val="002A2952"/>
    <w:rsid w:val="002B295E"/>
    <w:rsid w:val="002B408E"/>
    <w:rsid w:val="002B761A"/>
    <w:rsid w:val="002C5589"/>
    <w:rsid w:val="002E0BD0"/>
    <w:rsid w:val="00310A63"/>
    <w:rsid w:val="00336AA7"/>
    <w:rsid w:val="003542FB"/>
    <w:rsid w:val="00354E61"/>
    <w:rsid w:val="00361C89"/>
    <w:rsid w:val="003B2D69"/>
    <w:rsid w:val="003C1D3E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2B7"/>
    <w:rsid w:val="004B03D6"/>
    <w:rsid w:val="004B5E4C"/>
    <w:rsid w:val="004D4EA9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401F"/>
    <w:rsid w:val="00727458"/>
    <w:rsid w:val="00751CDB"/>
    <w:rsid w:val="0079263A"/>
    <w:rsid w:val="007A7B3C"/>
    <w:rsid w:val="007B14AB"/>
    <w:rsid w:val="007B2451"/>
    <w:rsid w:val="007C6397"/>
    <w:rsid w:val="007E7C3C"/>
    <w:rsid w:val="00804A79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1BE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35BAC"/>
    <w:rsid w:val="00B37169"/>
    <w:rsid w:val="00B775B9"/>
    <w:rsid w:val="00B8416C"/>
    <w:rsid w:val="00BB30EB"/>
    <w:rsid w:val="00BC1B43"/>
    <w:rsid w:val="00BC3544"/>
    <w:rsid w:val="00C05920"/>
    <w:rsid w:val="00C36AC7"/>
    <w:rsid w:val="00C60555"/>
    <w:rsid w:val="00C608EE"/>
    <w:rsid w:val="00C627E4"/>
    <w:rsid w:val="00C65CEB"/>
    <w:rsid w:val="00C66B06"/>
    <w:rsid w:val="00C741E7"/>
    <w:rsid w:val="00C924AB"/>
    <w:rsid w:val="00C9409B"/>
    <w:rsid w:val="00CA1022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C3D21"/>
    <w:rsid w:val="00E015A1"/>
    <w:rsid w:val="00E03125"/>
    <w:rsid w:val="00E444F9"/>
    <w:rsid w:val="00E83006"/>
    <w:rsid w:val="00E95E7D"/>
    <w:rsid w:val="00EA1EAF"/>
    <w:rsid w:val="00EC36AA"/>
    <w:rsid w:val="00ED0E0C"/>
    <w:rsid w:val="00ED7693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03E1A-B9B4-4926-86FC-493F8BC1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4431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4</cp:revision>
  <cp:lastPrinted>2014-07-28T11:02:00Z</cp:lastPrinted>
  <dcterms:created xsi:type="dcterms:W3CDTF">2015-03-19T07:25:00Z</dcterms:created>
  <dcterms:modified xsi:type="dcterms:W3CDTF">2015-03-19T07:27:00Z</dcterms:modified>
</cp:coreProperties>
</file>