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5843A64E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CE4E23" w:rsidRPr="006708BC" w14:paraId="36F171A7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1BD3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91284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39E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42E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CE4E23" w:rsidRPr="00470D56" w14:paraId="05DABDF5" w14:textId="77777777" w:rsidTr="007169F8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B00F67"/>
            <w:noWrap/>
            <w:tcMar>
              <w:left w:w="57" w:type="dxa"/>
              <w:right w:w="57" w:type="dxa"/>
            </w:tcMar>
          </w:tcPr>
          <w:p w14:paraId="71947C3E" w14:textId="53624740" w:rsidR="00CE4E23" w:rsidRPr="00470D56" w:rsidRDefault="00CE4E23" w:rsidP="00023ABB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Opbrengstgericht werken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00F67"/>
            <w:noWrap/>
            <w:tcMar>
              <w:left w:w="0" w:type="dxa"/>
              <w:right w:w="0" w:type="dxa"/>
            </w:tcMar>
          </w:tcPr>
          <w:p w14:paraId="686F396D" w14:textId="77777777" w:rsidR="00CE4E23" w:rsidRPr="00470D56" w:rsidRDefault="00CE4E23" w:rsidP="000B5497">
            <w:pPr>
              <w:contextualSpacing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B00F67"/>
            <w:noWrap/>
          </w:tcPr>
          <w:p w14:paraId="0DFB01D0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B00F67"/>
            <w:noWrap/>
          </w:tcPr>
          <w:p w14:paraId="71813BA9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het (deel)team</w:t>
            </w:r>
          </w:p>
        </w:tc>
      </w:tr>
      <w:tr w:rsidR="00CE4E23" w:rsidRPr="006708BC" w14:paraId="56BC5470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69A5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E356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50FA58F2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2F331BC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400B34" w:rsidRPr="006708BC" w14:paraId="1CE03E4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A3AD7B4" w14:textId="57811419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materialen liggen klaar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E71DDD1" w14:textId="125B253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7F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67F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267FB">
              <w:rPr>
                <w:rFonts w:ascii="Verdana" w:hAnsi="Verdana"/>
                <w:sz w:val="16"/>
                <w:szCs w:val="16"/>
              </w:rPr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C267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579B6D" w14:textId="2E5DBA4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F29238" w14:textId="2A7CCC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0BF980C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3E7BF9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347251F9" w14:textId="64BFADD0" w:rsidR="006708BC" w:rsidRPr="00326352" w:rsidRDefault="00326352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Algemeen</w:t>
            </w:r>
          </w:p>
        </w:tc>
      </w:tr>
      <w:tr w:rsidR="00326352" w:rsidRPr="006708BC" w14:paraId="2CB61259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3A8FBD" w14:textId="57C0909A" w:rsidR="00326352" w:rsidRPr="00020245" w:rsidRDefault="005D2349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Alle leerkrachten gebruiken de benamingen en uitleg zoals ze in de handleiding staan.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A91863" w14:textId="3173DD76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1194675" w14:textId="4503D467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1B0F50E" w14:textId="3EF859C5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5D8B095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327D7" w14:textId="0F593973" w:rsidR="00326352" w:rsidRPr="00020245" w:rsidRDefault="005D2349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observeert de kinderen tijdens de les om te zien waar zij nog moeite mee hebben.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6C4D94" w14:textId="018C786E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BE904E1" w14:textId="04F4D740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6CE49C" w14:textId="3FF26A13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5BF98F26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D560BD" w14:textId="536FA15F" w:rsidR="00326352" w:rsidRPr="00020245" w:rsidRDefault="005D2349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Ieder kind heeft een Staalboek en gebruikt deze bij het opfrissen en het dictee (wanneer dat aangegeven staat)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ED0874" w14:textId="2B1ED185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46A2328" w14:textId="58589DA0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6D38747" w14:textId="5AA3F9CF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37A4481B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70E401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7095A33D" w14:textId="033BC13D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1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Opfrissen</w:t>
            </w:r>
          </w:p>
        </w:tc>
      </w:tr>
      <w:tr w:rsidR="00400B34" w:rsidRPr="006708BC" w14:paraId="286B59E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46F11D8" w14:textId="41452812" w:rsidR="00400B34" w:rsidRPr="006708BC" w:rsidRDefault="005D2349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haalt vlot per aangeboden grammaticaonderdeel de kennis van de kinderen op.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0C63BC" w14:textId="475441C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A5AFC17" w14:textId="3CB33174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F85BB32" w14:textId="32FEED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929495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9642272" w14:textId="2AD3C93F" w:rsidR="00400B34" w:rsidRPr="006708BC" w:rsidRDefault="005D2349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biedt korte en afwisselende werkvormen aan.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8A461B" w14:textId="066BFA2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0B059B8" w14:textId="417D004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6EAE80" w14:textId="78EF290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6E71BF4F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31D269B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9124F1D" w14:textId="07892355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2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Instructie</w:t>
            </w:r>
          </w:p>
        </w:tc>
      </w:tr>
      <w:tr w:rsidR="00DD3646" w:rsidRPr="006708BC" w14:paraId="0D32F55C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0252A8" w14:textId="4AC929C4" w:rsidR="00DD3646" w:rsidRPr="00470D56" w:rsidRDefault="005D2349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benoemt het lesdoel kort en duidelijk.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29DBBD" w14:textId="32D9E5F6" w:rsidR="00DD3646" w:rsidRPr="00333E3B" w:rsidRDefault="00DD3646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DF99EE" w14:textId="6C57DA58" w:rsidR="00DD3646" w:rsidRPr="003B173C" w:rsidRDefault="00DD3646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221291C" w14:textId="016042DB" w:rsidR="00DD3646" w:rsidRPr="003B173C" w:rsidRDefault="00DD3646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D3646" w:rsidRPr="006708BC" w14:paraId="2D5C9B6F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019D2" w14:textId="36325D37" w:rsidR="00DD3646" w:rsidRPr="00470D56" w:rsidRDefault="005D2349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legt kort en duidelijk het nieuwe grammaticaonderdeel uit en geeft aan of het bij de woordsoorten, zinsdelen of leestekens hoort.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7B90B6" w14:textId="64F179CA" w:rsidR="00DD3646" w:rsidRPr="00333E3B" w:rsidRDefault="00DD3646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46B870A" w14:textId="1EDA16FF" w:rsidR="00DD3646" w:rsidRPr="003B173C" w:rsidRDefault="00DD3646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C2833EA" w14:textId="2FB1070F" w:rsidR="00DD3646" w:rsidRPr="003B173C" w:rsidRDefault="00DD3646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95423F5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D35DE" w14:textId="31C47799" w:rsidR="00626F55" w:rsidRPr="00020245" w:rsidRDefault="005D2349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gebruikt voorbeelden bij de uitleg.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78608A" w14:textId="7FB6D1B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D1C4E45" w14:textId="2398326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1F3997D" w14:textId="20D32417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8749CAB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1AE85" w14:textId="4B51DEEA" w:rsidR="00626F55" w:rsidRPr="00020245" w:rsidRDefault="005D2349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oefent interactief het nieuw geleerde.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71105D" w14:textId="5F1C4B70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98DA23E" w14:textId="5B86F3A8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5F212" w14:textId="633E6A6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05DAFD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DA3CF5" w14:textId="786C9794" w:rsidR="00626F55" w:rsidRPr="00020245" w:rsidRDefault="005D2349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5D2349">
              <w:rPr>
                <w:rFonts w:ascii="Verdana" w:hAnsi="Verdana"/>
                <w:sz w:val="16"/>
                <w:szCs w:val="16"/>
              </w:rPr>
              <w:t>De leerkracht bewaakt de tijd goed en zorgt ervoor dat er nu ongeveer 10 minuten van de les verstreken zijn.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617BEF" w14:textId="6C856468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7DC8679" w14:textId="5469EC4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1F932B" w14:textId="7E9B565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7CB2D51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A213045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B08690D" w14:textId="76E27EA3" w:rsidR="006708BC" w:rsidRPr="006708BC" w:rsidRDefault="00470D56" w:rsidP="00470D56">
            <w:pPr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Stap 3: Oefendictee</w:t>
            </w:r>
          </w:p>
        </w:tc>
      </w:tr>
      <w:tr w:rsidR="00DD3646" w:rsidRPr="006708BC" w14:paraId="20D628B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F7A044A" w14:textId="15234FAB" w:rsidR="00DD3646" w:rsidRPr="00470D56" w:rsidRDefault="0061626D" w:rsidP="0061626D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 xml:space="preserve">De leerkracht benoemt dat alle kinderen de categoriekaart moeten gebruiken. </w:t>
            </w:r>
            <w:r w:rsidRPr="0061626D">
              <w:rPr>
                <w:rFonts w:ascii="Verdana" w:hAnsi="Verdana" w:cs="Verdana"/>
                <w:i/>
                <w:sz w:val="16"/>
                <w:szCs w:val="16"/>
              </w:rPr>
              <w:t>Let op:</w:t>
            </w:r>
            <w:r w:rsidRPr="0061626D">
              <w:rPr>
                <w:rFonts w:ascii="Verdana" w:hAnsi="Verdana" w:cs="Verdana"/>
                <w:sz w:val="16"/>
                <w:szCs w:val="16"/>
              </w:rPr>
              <w:t xml:space="preserve"> Vanaf halverwege groep 4 leren de kinderen één à twee keer per week het dictee te maken zonder categoriekaart.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7038743" w14:textId="18FE2683" w:rsidR="00DD3646" w:rsidRPr="008C7B01" w:rsidRDefault="00DD3646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D690343" w14:textId="69183319" w:rsidR="00DD3646" w:rsidRPr="0088611D" w:rsidRDefault="00DD3646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0AEE6BA" w14:textId="606D392C" w:rsidR="00DD3646" w:rsidRPr="0088611D" w:rsidRDefault="00DD3646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755F112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3A5A420" w14:textId="7CE60C6C" w:rsidR="00400B34" w:rsidRPr="00400B34" w:rsidRDefault="0061626D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leerkracht zegt een woord of een zin één maal en de kinderen zeggen het na, voordat ze het woord of de zin opschrijven.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49658A3" w14:textId="48BCA1C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D3262E" w14:textId="4563C8B1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D6C78B1" w14:textId="491D31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105290A9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B2263A1" w14:textId="2A42DDD4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leerkracht geeft duidelijk aan of er woordsoorten gemarkeerd moeten worden in het dictee.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4FC91" w14:textId="079784F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6A21CA" w14:textId="201705F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69F176D" w14:textId="00019B2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30A3B8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879D77F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E119191" w14:textId="1D029E26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4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Nabespreking</w:t>
            </w:r>
          </w:p>
        </w:tc>
      </w:tr>
      <w:tr w:rsidR="00626F55" w:rsidRPr="006708BC" w14:paraId="6F409274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4E0774F" w14:textId="66810192" w:rsidR="00626F55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lastRenderedPageBreak/>
              <w:t>De leerkracht bespreekt het dictee klassikaal na en vraagt de kinderen de categorieën en de regels te verwoorden.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24DFC52" w14:textId="79B2B455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5C1D6" w14:textId="57BD1B89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7A05E3" w14:textId="0CD63DF3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6B9824FF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1FD5A86" w14:textId="293BB6F1" w:rsidR="00626F55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leerkracht let op dat de kinderen niet in nummers praten, maar altijd de categorienamen gebruiken.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F86A5FD" w14:textId="12134B54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B9AB68C" w14:textId="093D83E6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59F851" w14:textId="17F9D2BE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1BAA3B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A9A40F8" w14:textId="7DF0D73E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kinderen kijken het dictee zelf na met een kleurpotlood.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ABB5A42" w14:textId="4A1E537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8292F5" w14:textId="28F904D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C4C99F2" w14:textId="2B19E54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7A5CA57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026A1C8" w14:textId="2A241D18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leerkracht daagt de kinderen uit om geen fouten in het nagekeken dictee te laten zitten.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5193F62" w14:textId="0874817B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A1889D" w14:textId="743B34D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402CC1A" w14:textId="1B7D95C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C2AECC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F456E0C" w14:textId="2E1045D6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Tijdens de nabespreking behandelt de leerkracht de grammatica onderdelen: woordsoorten of zinsdelen en leestekens.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59BA0B2" w14:textId="7897F437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E709A71" w14:textId="1E6832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E1A95C" w14:textId="3BE6F976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0D56" w:rsidRPr="00470D56" w14:paraId="0304CB51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A1161C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7E122E7" w14:textId="1A52BAA6" w:rsidR="00470D56" w:rsidRP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5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Zelfstandig werken</w:t>
            </w:r>
          </w:p>
        </w:tc>
      </w:tr>
      <w:tr w:rsidR="00400B34" w:rsidRPr="006708BC" w14:paraId="7DC0B84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5C9D379" w14:textId="262507E7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kinderen werken zelfstandig in het werkboek.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AC2B29B" w14:textId="7880EC72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A4AC2A4" w14:textId="1E66D43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1A01B8" w14:textId="26FCF05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AD12E2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656B2E3F" w14:textId="7A33CD4C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Voor de kinderen is het duidelijk welke opdrachten ze moeten maken en hoe de opdrachten uitgevoerd moeten worden.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DA23CA" w14:textId="04FBC508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9BF4B7" w14:textId="69E6EDE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C0805BF" w14:textId="509E317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3B94A0E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0E5B" w14:textId="75DF0371" w:rsidR="00400B34" w:rsidRPr="00400B34" w:rsidRDefault="0061626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61626D">
              <w:rPr>
                <w:rFonts w:ascii="Verdana" w:hAnsi="Verdana" w:cs="Verdana"/>
                <w:sz w:val="16"/>
                <w:szCs w:val="16"/>
              </w:rPr>
              <w:t>De leerkracht maakt regelmatig gebruik van de aangegeven tips in de handleiding voor betere en zwakkere kinderen.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A98710" w14:textId="49C281D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7AF27A9" w14:textId="5B42C20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9156BD" w14:textId="5FDBC07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0A2B62F" w14:textId="77777777" w:rsidTr="00326352">
        <w:trPr>
          <w:cantSplit/>
          <w:trHeight w:hRule="exact" w:val="113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A53302" w14:textId="0C259D5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0B34" w:rsidRPr="006708BC" w14:paraId="734042C8" w14:textId="77777777" w:rsidTr="00326352">
        <w:trPr>
          <w:cantSplit/>
          <w:trHeight w:val="282"/>
        </w:trPr>
        <w:tc>
          <w:tcPr>
            <w:tcW w:w="9979" w:type="dxa"/>
            <w:gridSpan w:val="4"/>
            <w:tcMar>
              <w:left w:w="57" w:type="dxa"/>
              <w:right w:w="57" w:type="dxa"/>
            </w:tcMar>
          </w:tcPr>
          <w:p w14:paraId="13A77F79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Opmerkingen n.a.v. </w:t>
            </w:r>
            <w:proofErr w:type="gramStart"/>
            <w:r w:rsidRPr="00400B34">
              <w:rPr>
                <w:rFonts w:ascii="Verdana" w:hAnsi="Verdana" w:cs="Verdana" w:hint="eastAsia"/>
                <w:sz w:val="16"/>
                <w:szCs w:val="16"/>
              </w:rPr>
              <w:t>de</w:t>
            </w:r>
            <w:proofErr w:type="gramEnd"/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 observaties en de nabespreking:</w:t>
            </w:r>
          </w:p>
          <w:p w14:paraId="1BD20878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</w:p>
          <w:p w14:paraId="08B3C2AE" w14:textId="0C72D40C" w:rsidR="00400B34" w:rsidRPr="00400B34" w:rsidRDefault="00400B34" w:rsidP="00184C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C220544" w14:textId="77777777" w:rsidR="006708BC" w:rsidRPr="00481104" w:rsidRDefault="006708BC" w:rsidP="00ED1BAA"/>
    <w:sectPr w:rsidR="006708BC" w:rsidRPr="00481104" w:rsidSect="002355DE">
      <w:headerReference w:type="default" r:id="rId10"/>
      <w:pgSz w:w="11900" w:h="16840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16DA" w14:textId="77777777" w:rsidR="00470D56" w:rsidRDefault="00470D56" w:rsidP="00D72F13">
      <w:r>
        <w:separator/>
      </w:r>
    </w:p>
  </w:endnote>
  <w:endnote w:type="continuationSeparator" w:id="0">
    <w:p w14:paraId="294DC3D8" w14:textId="77777777" w:rsidR="00470D56" w:rsidRDefault="00470D5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F1C2" w14:textId="77777777" w:rsidR="00470D56" w:rsidRDefault="00470D56" w:rsidP="00D72F13">
      <w:r>
        <w:separator/>
      </w:r>
    </w:p>
  </w:footnote>
  <w:footnote w:type="continuationSeparator" w:id="0">
    <w:p w14:paraId="1CE90720" w14:textId="77777777" w:rsidR="00470D56" w:rsidRDefault="00470D5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70D56" w:rsidRDefault="00470D56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7BEC92D0">
          <wp:simplePos x="0" y="0"/>
          <wp:positionH relativeFrom="page">
            <wp:posOffset>0</wp:posOffset>
          </wp:positionH>
          <wp:positionV relativeFrom="page">
            <wp:posOffset>11430</wp:posOffset>
          </wp:positionV>
          <wp:extent cx="7559040" cy="10692130"/>
          <wp:effectExtent l="0" t="0" r="1016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0D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48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42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E6C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E9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2D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0E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7E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412"/>
    <w:multiLevelType w:val="hybridMultilevel"/>
    <w:tmpl w:val="9BCC66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CE38EF"/>
    <w:multiLevelType w:val="hybridMultilevel"/>
    <w:tmpl w:val="A1581E3C"/>
    <w:lvl w:ilvl="0" w:tplc="33C2FC8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B61243"/>
    <w:multiLevelType w:val="hybridMultilevel"/>
    <w:tmpl w:val="83F0370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9D2273"/>
    <w:multiLevelType w:val="hybridMultilevel"/>
    <w:tmpl w:val="3ACC0A22"/>
    <w:lvl w:ilvl="0" w:tplc="5E0661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B7CE4"/>
    <w:multiLevelType w:val="hybridMultilevel"/>
    <w:tmpl w:val="EF7AB9A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02BB7"/>
    <w:multiLevelType w:val="hybridMultilevel"/>
    <w:tmpl w:val="8F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27"/>
    <w:multiLevelType w:val="multilevel"/>
    <w:tmpl w:val="30544E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3961"/>
    <w:multiLevelType w:val="hybridMultilevel"/>
    <w:tmpl w:val="24CAB0D8"/>
    <w:lvl w:ilvl="0" w:tplc="A426B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026685"/>
    <w:multiLevelType w:val="hybridMultilevel"/>
    <w:tmpl w:val="B02E4FA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681F0F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B27C0"/>
    <w:multiLevelType w:val="hybridMultilevel"/>
    <w:tmpl w:val="7C24F9E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56289F"/>
    <w:multiLevelType w:val="hybridMultilevel"/>
    <w:tmpl w:val="9320CFAC"/>
    <w:lvl w:ilvl="0" w:tplc="0413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327D"/>
    <w:multiLevelType w:val="hybridMultilevel"/>
    <w:tmpl w:val="9768E8C0"/>
    <w:lvl w:ilvl="0" w:tplc="10085B4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4BA5169"/>
    <w:multiLevelType w:val="multilevel"/>
    <w:tmpl w:val="8F66C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30136"/>
    <w:multiLevelType w:val="hybridMultilevel"/>
    <w:tmpl w:val="C50CFB58"/>
    <w:lvl w:ilvl="0" w:tplc="4D80B3A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C97A7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3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543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3F7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1C0E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8"/>
  </w:num>
  <w:num w:numId="25">
    <w:abstractNumId w:val="25"/>
  </w:num>
  <w:num w:numId="26">
    <w:abstractNumId w:val="16"/>
  </w:num>
  <w:num w:numId="27">
    <w:abstractNumId w:val="19"/>
  </w:num>
  <w:num w:numId="28">
    <w:abstractNumId w:val="27"/>
  </w:num>
  <w:num w:numId="29">
    <w:abstractNumId w:val="2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C0DB7"/>
    <w:rsid w:val="000F5E2E"/>
    <w:rsid w:val="001213A0"/>
    <w:rsid w:val="0015307E"/>
    <w:rsid w:val="0015562F"/>
    <w:rsid w:val="001601BB"/>
    <w:rsid w:val="0017053B"/>
    <w:rsid w:val="00184C02"/>
    <w:rsid w:val="00197458"/>
    <w:rsid w:val="001C1F10"/>
    <w:rsid w:val="001C1FE6"/>
    <w:rsid w:val="001F0A7C"/>
    <w:rsid w:val="001F58A4"/>
    <w:rsid w:val="002059D4"/>
    <w:rsid w:val="00205B22"/>
    <w:rsid w:val="00210762"/>
    <w:rsid w:val="0021353B"/>
    <w:rsid w:val="002178C3"/>
    <w:rsid w:val="002355DE"/>
    <w:rsid w:val="002407FC"/>
    <w:rsid w:val="00245FBC"/>
    <w:rsid w:val="002463A2"/>
    <w:rsid w:val="00246588"/>
    <w:rsid w:val="002A2952"/>
    <w:rsid w:val="002B6D7B"/>
    <w:rsid w:val="002C5589"/>
    <w:rsid w:val="002D694B"/>
    <w:rsid w:val="00326352"/>
    <w:rsid w:val="003308C1"/>
    <w:rsid w:val="00336AA7"/>
    <w:rsid w:val="00342279"/>
    <w:rsid w:val="0035028E"/>
    <w:rsid w:val="00354E61"/>
    <w:rsid w:val="003B2D69"/>
    <w:rsid w:val="00400B34"/>
    <w:rsid w:val="00403692"/>
    <w:rsid w:val="00404C08"/>
    <w:rsid w:val="00426B4F"/>
    <w:rsid w:val="004334D5"/>
    <w:rsid w:val="00440DF3"/>
    <w:rsid w:val="00470D56"/>
    <w:rsid w:val="00476F7E"/>
    <w:rsid w:val="0049514E"/>
    <w:rsid w:val="004B03D6"/>
    <w:rsid w:val="004B5E4C"/>
    <w:rsid w:val="004D381B"/>
    <w:rsid w:val="005051A9"/>
    <w:rsid w:val="00526BDB"/>
    <w:rsid w:val="0054085E"/>
    <w:rsid w:val="00557380"/>
    <w:rsid w:val="005951F6"/>
    <w:rsid w:val="005A104D"/>
    <w:rsid w:val="005C73F1"/>
    <w:rsid w:val="005D2349"/>
    <w:rsid w:val="005E3C2D"/>
    <w:rsid w:val="005F18C8"/>
    <w:rsid w:val="00605B1C"/>
    <w:rsid w:val="00606259"/>
    <w:rsid w:val="00615B76"/>
    <w:rsid w:val="0061626D"/>
    <w:rsid w:val="00617F1F"/>
    <w:rsid w:val="00626F55"/>
    <w:rsid w:val="006426D2"/>
    <w:rsid w:val="00650CFA"/>
    <w:rsid w:val="00653185"/>
    <w:rsid w:val="00667044"/>
    <w:rsid w:val="006708BC"/>
    <w:rsid w:val="00677528"/>
    <w:rsid w:val="0068097A"/>
    <w:rsid w:val="00691543"/>
    <w:rsid w:val="006930EB"/>
    <w:rsid w:val="006B3C66"/>
    <w:rsid w:val="006C045E"/>
    <w:rsid w:val="006C2BBB"/>
    <w:rsid w:val="006D3124"/>
    <w:rsid w:val="006D476C"/>
    <w:rsid w:val="006E4C15"/>
    <w:rsid w:val="006F328B"/>
    <w:rsid w:val="00705F22"/>
    <w:rsid w:val="00707157"/>
    <w:rsid w:val="007169F8"/>
    <w:rsid w:val="00727458"/>
    <w:rsid w:val="00756FE5"/>
    <w:rsid w:val="007B14AB"/>
    <w:rsid w:val="007C47B1"/>
    <w:rsid w:val="007C6397"/>
    <w:rsid w:val="007E7C3C"/>
    <w:rsid w:val="007F4DE8"/>
    <w:rsid w:val="00804246"/>
    <w:rsid w:val="0080626F"/>
    <w:rsid w:val="0081758F"/>
    <w:rsid w:val="00880019"/>
    <w:rsid w:val="00892453"/>
    <w:rsid w:val="008C2067"/>
    <w:rsid w:val="008C51FB"/>
    <w:rsid w:val="008E12FC"/>
    <w:rsid w:val="008F2BD9"/>
    <w:rsid w:val="00925DC4"/>
    <w:rsid w:val="0093473B"/>
    <w:rsid w:val="0094585F"/>
    <w:rsid w:val="0094653E"/>
    <w:rsid w:val="009621AA"/>
    <w:rsid w:val="009630DB"/>
    <w:rsid w:val="009716A0"/>
    <w:rsid w:val="009A77E0"/>
    <w:rsid w:val="009F01D3"/>
    <w:rsid w:val="00A54752"/>
    <w:rsid w:val="00A54AAA"/>
    <w:rsid w:val="00A73877"/>
    <w:rsid w:val="00A875E3"/>
    <w:rsid w:val="00AB4357"/>
    <w:rsid w:val="00AB5510"/>
    <w:rsid w:val="00AD2348"/>
    <w:rsid w:val="00AD770B"/>
    <w:rsid w:val="00B06C5F"/>
    <w:rsid w:val="00B35BAC"/>
    <w:rsid w:val="00B56405"/>
    <w:rsid w:val="00B775B9"/>
    <w:rsid w:val="00B8416C"/>
    <w:rsid w:val="00B90D02"/>
    <w:rsid w:val="00BC3544"/>
    <w:rsid w:val="00C36AC7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04866"/>
    <w:rsid w:val="00D12036"/>
    <w:rsid w:val="00D403F9"/>
    <w:rsid w:val="00D67A6E"/>
    <w:rsid w:val="00D72F13"/>
    <w:rsid w:val="00D877D8"/>
    <w:rsid w:val="00D9171A"/>
    <w:rsid w:val="00D95654"/>
    <w:rsid w:val="00DB2F03"/>
    <w:rsid w:val="00DC3D21"/>
    <w:rsid w:val="00DD3646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ED1BAA"/>
    <w:rsid w:val="00F01F63"/>
    <w:rsid w:val="00F037BB"/>
    <w:rsid w:val="00F11FB9"/>
    <w:rsid w:val="00F143AA"/>
    <w:rsid w:val="00F33B7B"/>
    <w:rsid w:val="00F433C2"/>
    <w:rsid w:val="00F5766F"/>
    <w:rsid w:val="00F83B58"/>
    <w:rsid w:val="00F91F53"/>
    <w:rsid w:val="00F92C7C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C5D2C3-1589-CD41-BECF-B9E2EB22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3198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10</cp:revision>
  <cp:lastPrinted>2012-08-16T10:34:00Z</cp:lastPrinted>
  <dcterms:created xsi:type="dcterms:W3CDTF">2014-10-07T07:50:00Z</dcterms:created>
  <dcterms:modified xsi:type="dcterms:W3CDTF">2014-10-29T12:45:00Z</dcterms:modified>
</cp:coreProperties>
</file>