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5753" w:val="left" w:leader="none"/>
        </w:tabs>
        <w:spacing w:before="89"/>
        <w:ind w:left="755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104.381897pt;margin-top:-15.510662pt;width:455.05pt;height:281.6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9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miljarden.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miljarden.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optellen en aftrekken met benoemde </w:t>
                        </w:r>
                        <w:r>
                          <w:rPr>
                            <w:color w:val="231F20"/>
                            <w:sz w:val="18"/>
                          </w:rPr>
                          <w:t>en onbenoemde kommagetallen.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benoemde kommagetallen.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Inzicht in de getallen tot 1 miljoen.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4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cijferen met hele getallen (zowel optellen als </w:t>
                        </w:r>
                        <w:r>
                          <w:rPr>
                            <w:color w:val="231F20"/>
                            <w:sz w:val="18"/>
                          </w:rPr>
                          <w:t>aftrekken).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(zowel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aftrekken).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41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5753" w:val="left" w:leader="none"/>
        </w:tabs>
        <w:spacing w:before="88"/>
        <w:ind w:left="110" w:right="0" w:firstLine="0"/>
        <w:jc w:val="lef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89"/>
        <w:ind w:left="71" w:right="9133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576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tabs>
          <w:tab w:pos="5753" w:val="left" w:leader="none"/>
        </w:tabs>
        <w:spacing w:before="0"/>
        <w:ind w:left="755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104.381897pt;margin-top:-19.960667pt;width:455.05pt;height:294.3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10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gelijknamige en ongelijknamige breuken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gelijkwaardige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 </w:t>
                        </w:r>
                        <w:r>
                          <w:rPr>
                            <w:color w:val="231F20"/>
                            <w:sz w:val="18"/>
                          </w:rPr>
                          <w:t>vinden.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3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gelijknamige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ongelijknamige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79" w:right="2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gelijkwaardige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breuken omzetten in kommagetallen en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 in een zo klein mogelijke breuk.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right="396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eenvoudige breuken omzetten in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komma­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mogelijke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vergelijken en ordenen van ongelijknamige </w:t>
                        </w:r>
                        <w:r>
                          <w:rPr>
                            <w:color w:val="231F20"/>
                            <w:sz w:val="18"/>
                          </w:rPr>
                          <w:t>breuken.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kunnen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benoemen van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tienden, honderdsten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duizendsten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kommagetal,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breuken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kommagetallen kunnen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plaatsen </w:t>
                        </w:r>
                        <w:r>
                          <w:rPr>
                            <w:color w:val="231F20"/>
                            <w:sz w:val="18"/>
                          </w:rPr>
                          <w:t>op 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getallenlijn.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41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31"/>
        <w:ind w:left="62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1" w:right="9133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576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1024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spacing w:before="160"/>
        <w:ind w:left="1137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before="0"/>
        <w:ind w:left="0" w:right="1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1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50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</w:tblGrid>
      <w:tr>
        <w:trPr>
          <w:trHeight w:val="320" w:hRule="atLeast"/>
        </w:trPr>
        <w:tc>
          <w:tcPr>
            <w:tcW w:w="4535" w:type="dxa"/>
            <w:shd w:val="clear" w:color="auto" w:fill="9ED3F2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doel 5</w:t>
            </w:r>
          </w:p>
        </w:tc>
      </w:tr>
      <w:tr>
        <w:trPr>
          <w:trHeight w:val="1480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spacing w:line="261" w:lineRule="auto"/>
              <w:ind w:left="79" w:right="278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7962" cy="108013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2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schaal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met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schaalnotaties (schaallijn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notatie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xx)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lengte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schaal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omrekenen naar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werkelijke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lengte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omgekeerd.</w:t>
            </w:r>
          </w:p>
          <w:p>
            <w:pPr>
              <w:pStyle w:val="TableParagraph"/>
              <w:spacing w:line="261" w:lineRule="auto" w:before="1"/>
              <w:ind w:left="79" w:right="118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8000" cy="108000"/>
                  <wp:effectExtent l="0" t="0" r="0" b="0"/>
                  <wp:docPr id="2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schaal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met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schaallijn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een lengte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schaal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omrekenen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naar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werkelijke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lengte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omgekeerd.</w:t>
            </w:r>
          </w:p>
        </w:tc>
      </w:tr>
      <w:tr>
        <w:trPr>
          <w:trHeight w:val="1000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spacing w:line="261" w:lineRule="auto"/>
              <w:ind w:left="79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7962" cy="108013"/>
                  <wp:effectExtent l="0" t="0" r="0" b="0"/>
                  <wp:docPr id="2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2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color w:val="231F20"/>
                <w:w w:val="95"/>
                <w:sz w:val="18"/>
              </w:rPr>
              <w:t>Het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kunnen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herleiden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maten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meter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naar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centimeter,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omgekeerd.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8000" cy="108000"/>
                  <wp:effectExtent l="0" t="0" r="0" b="0"/>
                  <wp:docPr id="27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color w:val="231F20"/>
                <w:w w:val="95"/>
                <w:sz w:val="18"/>
              </w:rPr>
              <w:t>Het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kunnen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herleiden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meter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naar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centimeter,</w:t>
            </w:r>
          </w:p>
          <w:p>
            <w:pPr>
              <w:pStyle w:val="TableParagraph"/>
              <w:spacing w:before="2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en omgekeerd.</w:t>
            </w:r>
          </w:p>
        </w:tc>
      </w:tr>
      <w:tr>
        <w:trPr>
          <w:trHeight w:val="773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n.v.t.</w:t>
            </w:r>
          </w:p>
        </w:tc>
      </w:tr>
      <w:tr>
        <w:trPr>
          <w:trHeight w:val="2701" w:hRule="atLeast"/>
        </w:trPr>
        <w:tc>
          <w:tcPr>
            <w:tcW w:w="45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61"/>
        <w:ind w:left="40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  <w:cols w:num="2" w:equalWidth="0">
        <w:col w:w="1058" w:space="40"/>
        <w:col w:w="9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96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589976_WIG5_7_03_PB_blokvoorbereidingsformulier.indd</dc:title>
  <dcterms:created xsi:type="dcterms:W3CDTF">2019-08-23T07:42:36Z</dcterms:created>
  <dcterms:modified xsi:type="dcterms:W3CDTF">2019-08-23T07:42:36Z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