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6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 </w:t>
                        </w:r>
                        <w:r>
                          <w:rPr>
                            <w:color w:val="231F20"/>
                            <w:sz w:val="18"/>
                          </w:rPr>
                          <w:t>434 –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5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1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434 − 70 uitrekenen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2 sprongen?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1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434 − 70 uitrekenen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2 sprongen?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353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kunt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7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435 + 220 en 435 + 224 uitrekenen 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352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kunt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72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435 + 220 en 435 + 224 uitrekenen 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basisstrategie splitsen?</w:t>
                        </w:r>
                      </w:p>
                    </w:tc>
                  </w:tr>
                  <w:tr>
                    <w:trPr>
                      <w:trHeight w:val="202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10658pt;width:454.55pt;height:282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2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deelsommen uitrekenen met de basisstrategie </w:t>
                        </w:r>
                        <w:r>
                          <w:rPr>
                            <w:color w:val="231F20"/>
                            <w:sz w:val="18"/>
                          </w:rPr>
                          <w:t>‘keersom zoeken’.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9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69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143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deelsom zonder rest vlot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welke tafel het moet zoeken?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4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antwoord vlot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8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een deelsom met rest vlot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zoeken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waarom?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88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keersom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de rest vlot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87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69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variastrategie 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74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strategie? (Kan het kind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 uitleggen met behulp van een verhaal/ context?)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37" w:after="0"/>
                          <w:ind w:left="225" w:right="187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69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variastrategie 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384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strategie? (Kan het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kind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toepassen?)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40" w:lineRule="auto" w:before="1" w:after="0"/>
                          <w:ind w:left="225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wel/niet met deze strategie </w:t>
                        </w:r>
                        <w:r>
                          <w:rPr>
                            <w:color w:val="231F20"/>
                            <w:sz w:val="18"/>
                          </w:rPr>
                          <w:t>kan rekenen?</w:t>
                        </w:r>
                      </w:p>
                    </w:tc>
                  </w:tr>
                  <w:tr>
                    <w:trPr>
                      <w:trHeight w:val="2020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22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3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jaarkalender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ervan een datum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een jaarkalender </w:t>
                        </w:r>
                        <w:r>
                          <w:rPr>
                            <w:color w:val="231F20"/>
                            <w:sz w:val="18"/>
                          </w:rPr>
                          <w:t>aflezen?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vanuit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startdatum een andere datum </w:t>
                        </w:r>
                        <w:r>
                          <w:rPr>
                            <w:color w:val="231F20"/>
                            <w:sz w:val="18"/>
                          </w:rPr>
                          <w:t>bepalen? Ook als dat in een eerdere of latere maand is?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803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225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000000_WIG5_5_06_PB_blokobservatie.indd</dc:title>
  <dcterms:created xsi:type="dcterms:W3CDTF">2019-08-23T07:38:55Z</dcterms:created>
  <dcterms:modified xsi:type="dcterms:W3CDTF">2019-08-23T07:38:55Z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